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1511C" w14:textId="2DAE32BE" w:rsidR="00306C53" w:rsidRPr="001E664B" w:rsidRDefault="001E664B" w:rsidP="001E664B">
      <w:pPr>
        <w:jc w:val="center"/>
        <w:rPr>
          <w:b/>
          <w:bCs/>
          <w:sz w:val="32"/>
          <w:szCs w:val="32"/>
        </w:rPr>
      </w:pPr>
      <w:r w:rsidRPr="000D6057">
        <w:rPr>
          <w:b/>
          <w:bCs/>
          <w:sz w:val="32"/>
          <w:szCs w:val="32"/>
        </w:rPr>
        <w:t>Krásna nová trofej VC SR pre Mira Konôpku</w:t>
      </w:r>
    </w:p>
    <w:p w14:paraId="4AC3625E" w14:textId="7BC72D55" w:rsidR="001E664B" w:rsidRDefault="00306C53" w:rsidP="001E664B">
      <w:r w:rsidRPr="00306C53">
        <w:rPr>
          <w:b/>
          <w:bCs/>
        </w:rPr>
        <w:t xml:space="preserve">Orechová Potôň, </w:t>
      </w:r>
      <w:r w:rsidR="001E664B">
        <w:rPr>
          <w:b/>
          <w:bCs/>
        </w:rPr>
        <w:t>23</w:t>
      </w:r>
      <w:r w:rsidRPr="00306C53">
        <w:rPr>
          <w:b/>
          <w:bCs/>
        </w:rPr>
        <w:t>.</w:t>
      </w:r>
      <w:r w:rsidR="00181DA2">
        <w:rPr>
          <w:b/>
          <w:bCs/>
        </w:rPr>
        <w:t xml:space="preserve"> august </w:t>
      </w:r>
      <w:r w:rsidRPr="00306C53">
        <w:rPr>
          <w:b/>
          <w:bCs/>
        </w:rPr>
        <w:t xml:space="preserve">2026 - </w:t>
      </w:r>
      <w:r w:rsidR="00627146" w:rsidRPr="00627146">
        <w:rPr>
          <w:b/>
          <w:bCs/>
        </w:rPr>
        <w:t>Nová tradícia Pohára víťazov Veľkej ceny Slovenskej republiky v pretekoch automobilov na okruhu sa začala tento víkend na Slovakia Ringu pri Orechovej Potôni. Nádherný ručne maľovaný pohár z modranskej keramiky s menami víťazov VC SR od roku 2010 ako prvý zdvihol nad hlavu Miro Konôpka za víťazstvo v prvých pretekoch víkendu OMV MaxxMotion Veľkej ceny SR 2026.</w:t>
      </w:r>
    </w:p>
    <w:p w14:paraId="2959157E" w14:textId="77777777" w:rsidR="00627146" w:rsidRDefault="00627146" w:rsidP="00627146">
      <w:r>
        <w:t>OMV MaxxMotion Veľká cena Slovenskej republiky na 17. ročníku zaznamenala hneď niekoľko rekordov. Veľká cena prilákala pretekárov Zóny strednej Európy, šampionátov Slovenska, Maďarska, Česka, Rakúska, Poľska, Slovinska a Chorvátska, a tomu zodpovedalo aj zaplnené depo. Na trati jazdilo viac ako 170 pretekárov, čo už samo o sebe je pozoruhodné číslo, ale vysoké tempo mal aj sobotný program, v ktorom figurovalo 10 pretekov. Depo okruhu aj s novým sektorom zaplnili autá v širokom spektre výkonov a techniky od maličkých Maluchov, ktoré sú vstupnou bránou do motoristického športu a napriek nízkemu výkonu hneď po raňajkách dvíhali zo sedadiel divákov, až po impozantné štartové pole v unikátnom počte silných  špeciálov triedy D4 GT, D5, cestovných automobilov do 3500 kubíkov či GT Cup series. Atraktívne preteky predviedli aj jazdci absolútne tradičného náradia, teda formulových vozidiel divízie D2. Ani v jednej kategórii sme nesledovali únavnú exhibíciu najrýchlejších pilotov, skôr naopak, každá jazda bola plná zmien v poradí.</w:t>
      </w:r>
    </w:p>
    <w:p w14:paraId="599A4D53" w14:textId="77777777" w:rsidR="00627146" w:rsidRDefault="00627146" w:rsidP="00627146">
      <w:r>
        <w:t>Kráľovskej triede GT dominoval v šprintových pretekoch ARC tím z Bratislavy, ktorý v absolútnom poradí obsadil všetky tri miesta a to v poradí – Miro Konôpka, Zdeno Mikuláško a Adam Konôpka.</w:t>
      </w:r>
    </w:p>
    <w:p w14:paraId="0F955F18" w14:textId="77777777" w:rsidR="00627146" w:rsidRDefault="00627146" w:rsidP="00627146">
      <w:r>
        <w:t>Víťazom vytrvalostnej podvečernej hodinovky sa stal opäť Miro Konôpka na Ligieri tímu ARC Bratislava pred poľskými súpermi z Aquaflame Racing.</w:t>
      </w:r>
    </w:p>
    <w:p w14:paraId="706DCB72" w14:textId="77777777" w:rsidR="00627146" w:rsidRDefault="00627146" w:rsidP="00627146">
      <w:r>
        <w:t>Nedeľné kolo pretekov prinieslo opäť množstva drámy a súboj. V najsledovanejšej divízii triedy GT opäť dominoval bratislavský tím ARC, ktorý v absolútnom poradí obsadil prvé a tretie miesto. Zvíťazil opäť Miro Konôpka na Ligieri LMP3 pred druhým Poliakom Filipom Sterczewskim jazdiacom rovnako na Ligieri LMP3 a tretím Zdenom Mikuláškom na Lamborghini Huracán GT3.</w:t>
      </w:r>
    </w:p>
    <w:p w14:paraId="3F22C94D" w14:textId="1884F586" w:rsidR="00627146" w:rsidRDefault="00627146" w:rsidP="00627146">
      <w:r>
        <w:t>V triede cestovných automobilov TCR Eastern Europe si najlepšie počínal Adam Kout z tímu Janík Motorsport na Hyundai Elantra  N TCR, ktorý vyhral sobotné preteky a v nedeľu skončil na druhom mieste.</w:t>
      </w:r>
    </w:p>
    <w:p w14:paraId="4C11A9B3" w14:textId="52DB6208" w:rsidR="001E664B" w:rsidRDefault="001E664B" w:rsidP="001E664B">
      <w:r>
        <w:t xml:space="preserve">Viac informácií a kompletné výsledky sú dostupné </w:t>
      </w:r>
      <w:hyperlink r:id="rId7" w:history="1">
        <w:r w:rsidRPr="001E664B">
          <w:rPr>
            <w:rStyle w:val="Hypertextovprepojenie"/>
            <w:b/>
            <w:bCs/>
          </w:rPr>
          <w:t>TU</w:t>
        </w:r>
      </w:hyperlink>
      <w:r>
        <w:t>.</w:t>
      </w:r>
    </w:p>
    <w:p w14:paraId="5CA81BD5" w14:textId="77777777" w:rsidR="001E664B" w:rsidRDefault="001E664B" w:rsidP="001E664B">
      <w:r>
        <w:t>Najbližším oficiálnym FIA podujatím na okruhu SLOVAKIA RING budú preteky zóny strednej Európy v relykrose plánované na víkend 16.-18. októbra.</w:t>
      </w:r>
    </w:p>
    <w:p w14:paraId="20196C4E" w14:textId="77777777" w:rsidR="00BE2F5B" w:rsidRDefault="00BE2F5B"/>
    <w:p w14:paraId="78226963" w14:textId="3A5D15C8" w:rsidR="001260EA" w:rsidRPr="00233D47" w:rsidRDefault="00973AC2">
      <w:pPr>
        <w:rPr>
          <w:rFonts w:asciiTheme="minorHAnsi" w:hAnsiTheme="minorHAnsi" w:cstheme="minorHAnsi"/>
        </w:rPr>
      </w:pPr>
      <w:r w:rsidRPr="00233D47">
        <w:rPr>
          <w:rFonts w:asciiTheme="minorHAnsi" w:hAnsiTheme="minorHAnsi" w:cstheme="minorHAnsi"/>
          <w:i/>
        </w:rPr>
        <w:t>***</w:t>
      </w:r>
    </w:p>
    <w:p w14:paraId="5B31F027" w14:textId="77777777" w:rsidR="001260EA" w:rsidRPr="00233D47" w:rsidRDefault="00973AC2">
      <w:pPr>
        <w:rPr>
          <w:rFonts w:asciiTheme="minorHAnsi" w:hAnsiTheme="minorHAnsi" w:cstheme="minorHAnsi"/>
        </w:rPr>
      </w:pPr>
      <w:r w:rsidRPr="00233D47">
        <w:rPr>
          <w:rFonts w:asciiTheme="minorHAnsi" w:hAnsiTheme="minorHAnsi" w:cstheme="minorHAnsi"/>
          <w:b/>
          <w:i/>
        </w:rPr>
        <w:t>Okruh SLOVAKIA RING / Areál SLOVAKIA RING</w:t>
      </w:r>
    </w:p>
    <w:p w14:paraId="25D6E54E" w14:textId="77777777" w:rsidR="001260EA" w:rsidRPr="00233D47" w:rsidRDefault="00973AC2">
      <w:pPr>
        <w:jc w:val="both"/>
        <w:rPr>
          <w:rFonts w:asciiTheme="minorHAnsi" w:hAnsiTheme="minorHAnsi" w:cstheme="minorHAnsi"/>
        </w:rPr>
      </w:pPr>
      <w:r w:rsidRPr="00233D47">
        <w:rPr>
          <w:rFonts w:asciiTheme="minorHAnsi" w:hAnsiTheme="minorHAnsi" w:cstheme="minorHAnsi"/>
          <w:i/>
        </w:rPr>
        <w:t xml:space="preserve">SLOVAKIA RING je profesionálny pretekársky okruh s licenciou FIA 2. stupňa, jediný svojho druhu na Slovensku. S celkovou dĺžkou 5922 m sa radí medzi najdlhšie v Európe. Kvalitatívnymi a bezpečnostnými parametrami vytvára okruh zázemie pre prestížne svetové šampionáty pod hlavičkami FIA a FIM. Od roku 2010 prináša podujatia pre profesionálnych jazdcov, amatérov, firmy a širokú verejnosť. </w:t>
      </w:r>
    </w:p>
    <w:p w14:paraId="4027B2B5" w14:textId="488DF53E" w:rsidR="001260EA" w:rsidRPr="00233D47" w:rsidRDefault="00973AC2">
      <w:pPr>
        <w:spacing w:line="240" w:lineRule="auto"/>
        <w:jc w:val="both"/>
        <w:rPr>
          <w:rFonts w:asciiTheme="minorHAnsi" w:hAnsiTheme="minorHAnsi" w:cstheme="minorHAnsi"/>
        </w:rPr>
      </w:pPr>
      <w:r w:rsidRPr="00233D47">
        <w:rPr>
          <w:rFonts w:asciiTheme="minorHAnsi" w:hAnsiTheme="minorHAnsi" w:cstheme="minorHAnsi"/>
          <w:i/>
        </w:rPr>
        <w:lastRenderedPageBreak/>
        <w:t xml:space="preserve">SLOVAKIA RING pri Orechovej Potôni predstavuje jedinečný areál - jediný svojho druhu na Slovensku. Ponúka možnosti jazdiť na profesionálnom automotodróme, zdokonaliť sa v škole bezpečnej jazdy, vyskúšať si terénnu jazdu vo vynovenom </w:t>
      </w:r>
      <w:r w:rsidRPr="00233D47">
        <w:rPr>
          <w:rFonts w:asciiTheme="minorHAnsi" w:hAnsiTheme="minorHAnsi" w:cstheme="minorHAnsi"/>
          <w:b/>
          <w:i/>
        </w:rPr>
        <w:t>off-road areáli</w:t>
      </w:r>
      <w:r w:rsidRPr="00233D47">
        <w:rPr>
          <w:rFonts w:asciiTheme="minorHAnsi" w:hAnsiTheme="minorHAnsi" w:cstheme="minorHAnsi"/>
          <w:i/>
        </w:rPr>
        <w:t xml:space="preserve"> a užiť si relax v hoteli. Súčasťou širšieho areálu je aj </w:t>
      </w:r>
      <w:r w:rsidRPr="00233D47">
        <w:rPr>
          <w:rFonts w:asciiTheme="minorHAnsi" w:hAnsiTheme="minorHAnsi" w:cstheme="minorHAnsi"/>
          <w:b/>
          <w:i/>
        </w:rPr>
        <w:t xml:space="preserve">Malkia Park </w:t>
      </w:r>
      <w:r w:rsidRPr="00233D47">
        <w:rPr>
          <w:rFonts w:asciiTheme="minorHAnsi" w:hAnsiTheme="minorHAnsi" w:cstheme="minorHAnsi"/>
          <w:i/>
        </w:rPr>
        <w:t>-</w:t>
      </w:r>
      <w:r w:rsidRPr="00233D47">
        <w:rPr>
          <w:rFonts w:asciiTheme="minorHAnsi" w:hAnsiTheme="minorHAnsi" w:cstheme="minorHAnsi"/>
          <w:b/>
          <w:i/>
        </w:rPr>
        <w:t xml:space="preserve"> </w:t>
      </w:r>
      <w:r w:rsidRPr="00233D47">
        <w:rPr>
          <w:rFonts w:asciiTheme="minorHAnsi" w:hAnsiTheme="minorHAnsi" w:cstheme="minorHAnsi"/>
          <w:i/>
        </w:rPr>
        <w:t xml:space="preserve">útočisko pre exotické zvieratá. K novým atrakciám patrí tiež </w:t>
      </w:r>
      <w:r w:rsidRPr="00233D47">
        <w:rPr>
          <w:rFonts w:asciiTheme="minorHAnsi" w:hAnsiTheme="minorHAnsi" w:cstheme="minorHAnsi"/>
          <w:b/>
          <w:i/>
        </w:rPr>
        <w:t>Vojenské múzeum.</w:t>
      </w:r>
      <w:r w:rsidRPr="00233D47">
        <w:rPr>
          <w:rFonts w:asciiTheme="minorHAnsi" w:hAnsiTheme="minorHAnsi" w:cstheme="minorHAnsi"/>
          <w:i/>
        </w:rPr>
        <w:t xml:space="preserve"> Pre všetkých, ktorí si chcú preveriť a zdokonaliť svoje jazdecké zručnosti - či už na aute alebo motocykle, je pripravené profesionálne </w:t>
      </w:r>
      <w:r w:rsidRPr="00233D47">
        <w:rPr>
          <w:rFonts w:asciiTheme="minorHAnsi" w:hAnsiTheme="minorHAnsi" w:cstheme="minorHAnsi"/>
          <w:b/>
          <w:i/>
        </w:rPr>
        <w:t>CENTRUM BEZPEČNEJ JAZDY</w:t>
      </w:r>
      <w:r w:rsidRPr="00233D47">
        <w:rPr>
          <w:rFonts w:asciiTheme="minorHAnsi" w:hAnsiTheme="minorHAnsi" w:cstheme="minorHAnsi"/>
          <w:i/>
        </w:rPr>
        <w:t xml:space="preserve"> s najmodernejším tréningovým cvičiskom v strednej Európe. Po aktívnom výkone si môžete dopriať výdatný obed či večeru v reštaurácii Ring a </w:t>
      </w:r>
      <w:r w:rsidRPr="00233D47">
        <w:rPr>
          <w:rFonts w:asciiTheme="minorHAnsi" w:hAnsiTheme="minorHAnsi" w:cstheme="minorHAnsi"/>
          <w:b/>
          <w:i/>
        </w:rPr>
        <w:t>Hoteli Ring***</w:t>
      </w:r>
      <w:r w:rsidRPr="00233D47">
        <w:rPr>
          <w:rFonts w:asciiTheme="minorHAnsi" w:hAnsiTheme="minorHAnsi" w:cstheme="minorHAnsi"/>
          <w:i/>
        </w:rPr>
        <w:t>, ktorý ponúka komfortné ubytovanie.</w:t>
      </w:r>
      <w:r w:rsidR="00380F63" w:rsidRPr="00233D47">
        <w:rPr>
          <w:rFonts w:asciiTheme="minorHAnsi" w:hAnsiTheme="minorHAnsi" w:cstheme="minorHAnsi"/>
          <w:i/>
        </w:rPr>
        <w:t xml:space="preserve"> Poslednou akvizíciou v areáli je špičkové </w:t>
      </w:r>
      <w:r w:rsidR="00380F63" w:rsidRPr="00233D47">
        <w:rPr>
          <w:rFonts w:asciiTheme="minorHAnsi" w:hAnsiTheme="minorHAnsi" w:cstheme="minorHAnsi"/>
          <w:b/>
          <w:bCs/>
          <w:i/>
        </w:rPr>
        <w:t>Slovenské motokárové centrum</w:t>
      </w:r>
      <w:r w:rsidR="00380F63" w:rsidRPr="00233D47">
        <w:rPr>
          <w:rFonts w:asciiTheme="minorHAnsi" w:hAnsiTheme="minorHAnsi" w:cstheme="minorHAnsi"/>
          <w:i/>
        </w:rPr>
        <w:t xml:space="preserve"> a jeho vonkajšia dráha dlhá 1170m. To ponúka bezkonkurenčný priestor pre aktívne jazdy na motokárach pre deti, dospelých ale aj majiteľov vlastných motokár. Centrum a dráha je ako jediná na Slovensku homologizovaná licenciou CIK-FIA.</w:t>
      </w:r>
    </w:p>
    <w:p w14:paraId="44FDBB15" w14:textId="008EE2DF" w:rsidR="00F86409" w:rsidRPr="00233D47" w:rsidRDefault="00F86409">
      <w:pPr>
        <w:spacing w:before="280" w:after="0" w:line="240" w:lineRule="auto"/>
        <w:rPr>
          <w:rFonts w:asciiTheme="minorHAnsi" w:hAnsiTheme="minorHAnsi" w:cstheme="minorHAnsi"/>
          <w:b/>
        </w:rPr>
      </w:pPr>
      <w:r w:rsidRPr="00233D47">
        <w:rPr>
          <w:rFonts w:asciiTheme="minorHAnsi" w:hAnsiTheme="minorHAnsi" w:cstheme="minorHAnsi"/>
          <w:b/>
        </w:rPr>
        <w:t>GENERÁLNYM REKLAMNÝM PARTNEROM OK</w:t>
      </w:r>
      <w:r w:rsidR="00CE060E" w:rsidRPr="00233D47">
        <w:rPr>
          <w:rFonts w:asciiTheme="minorHAnsi" w:hAnsiTheme="minorHAnsi" w:cstheme="minorHAnsi"/>
          <w:b/>
        </w:rPr>
        <w:t>R</w:t>
      </w:r>
      <w:r w:rsidRPr="00233D47">
        <w:rPr>
          <w:rFonts w:asciiTheme="minorHAnsi" w:hAnsiTheme="minorHAnsi" w:cstheme="minorHAnsi"/>
          <w:b/>
        </w:rPr>
        <w:t>UHU JE OMV SLOVENSKO.</w:t>
      </w:r>
    </w:p>
    <w:p w14:paraId="4DFFADA2" w14:textId="54FEEC85" w:rsidR="001260EA" w:rsidRPr="00233D47" w:rsidRDefault="00973AC2">
      <w:pPr>
        <w:spacing w:before="280" w:after="0" w:line="240" w:lineRule="auto"/>
        <w:rPr>
          <w:rFonts w:asciiTheme="minorHAnsi" w:hAnsiTheme="minorHAnsi" w:cstheme="minorHAnsi"/>
          <w:b/>
        </w:rPr>
      </w:pPr>
      <w:r w:rsidRPr="00233D47">
        <w:rPr>
          <w:rFonts w:asciiTheme="minorHAnsi" w:hAnsiTheme="minorHAnsi" w:cstheme="minorHAnsi"/>
          <w:b/>
        </w:rPr>
        <w:t>Ďalšie informácie:</w:t>
      </w:r>
    </w:p>
    <w:tbl>
      <w:tblPr>
        <w:tblW w:w="9072" w:type="dxa"/>
        <w:tblCellMar>
          <w:top w:w="55" w:type="dxa"/>
          <w:left w:w="55" w:type="dxa"/>
          <w:bottom w:w="55" w:type="dxa"/>
          <w:right w:w="55" w:type="dxa"/>
        </w:tblCellMar>
        <w:tblLook w:val="04A0" w:firstRow="1" w:lastRow="0" w:firstColumn="1" w:lastColumn="0" w:noHBand="0" w:noVBand="1"/>
      </w:tblPr>
      <w:tblGrid>
        <w:gridCol w:w="4537"/>
        <w:gridCol w:w="4535"/>
      </w:tblGrid>
      <w:tr w:rsidR="001260EA" w:rsidRPr="00233D47" w14:paraId="443428BD" w14:textId="77777777">
        <w:tc>
          <w:tcPr>
            <w:tcW w:w="4536" w:type="dxa"/>
          </w:tcPr>
          <w:p w14:paraId="64B4FE8F" w14:textId="47BA796E" w:rsidR="001260EA" w:rsidRPr="00233D47" w:rsidRDefault="005D350C">
            <w:pPr>
              <w:pStyle w:val="Zkladntext"/>
              <w:rPr>
                <w:rFonts w:asciiTheme="minorHAnsi" w:hAnsiTheme="minorHAnsi" w:cstheme="minorHAnsi"/>
              </w:rPr>
            </w:pPr>
            <w:r w:rsidRPr="00233D47">
              <w:rPr>
                <w:rFonts w:asciiTheme="minorHAnsi" w:hAnsiTheme="minorHAnsi" w:cstheme="minorHAnsi"/>
              </w:rPr>
              <w:t xml:space="preserve">Ing. </w:t>
            </w:r>
            <w:r w:rsidR="00973AC2" w:rsidRPr="00233D47">
              <w:rPr>
                <w:rFonts w:asciiTheme="minorHAnsi" w:hAnsiTheme="minorHAnsi" w:cstheme="minorHAnsi"/>
              </w:rPr>
              <w:t>Peter Pecze</w:t>
            </w:r>
            <w:r w:rsidR="00973AC2" w:rsidRPr="00233D47">
              <w:rPr>
                <w:rFonts w:asciiTheme="minorHAnsi" w:hAnsiTheme="minorHAnsi" w:cstheme="minorHAnsi"/>
              </w:rPr>
              <w:br/>
              <w:t>Marketing Director, SLOVAKIA RING</w:t>
            </w:r>
            <w:r w:rsidR="00973AC2" w:rsidRPr="00233D47">
              <w:rPr>
                <w:rFonts w:asciiTheme="minorHAnsi" w:hAnsiTheme="minorHAnsi" w:cstheme="minorHAnsi"/>
              </w:rPr>
              <w:br/>
              <w:t>mobil: +421 911 423 134</w:t>
            </w:r>
            <w:r w:rsidR="00973AC2" w:rsidRPr="00233D47">
              <w:rPr>
                <w:rFonts w:asciiTheme="minorHAnsi" w:hAnsiTheme="minorHAnsi" w:cstheme="minorHAnsi"/>
              </w:rPr>
              <w:br/>
              <w:t>e-mail: pecze@slovakiaring.sk</w:t>
            </w:r>
          </w:p>
        </w:tc>
        <w:tc>
          <w:tcPr>
            <w:tcW w:w="4535" w:type="dxa"/>
          </w:tcPr>
          <w:p w14:paraId="0E96A492" w14:textId="1CF1AD1B" w:rsidR="001260EA" w:rsidRPr="00233D47" w:rsidRDefault="001260EA">
            <w:pPr>
              <w:pStyle w:val="Zkladntext"/>
              <w:rPr>
                <w:rFonts w:asciiTheme="minorHAnsi" w:hAnsiTheme="minorHAnsi" w:cstheme="minorHAnsi"/>
              </w:rPr>
            </w:pPr>
          </w:p>
        </w:tc>
      </w:tr>
    </w:tbl>
    <w:p w14:paraId="200BC13D" w14:textId="77777777" w:rsidR="001260EA" w:rsidRPr="00233D47" w:rsidRDefault="001260EA">
      <w:pPr>
        <w:jc w:val="both"/>
        <w:rPr>
          <w:rFonts w:asciiTheme="minorHAnsi" w:hAnsiTheme="minorHAnsi" w:cstheme="minorHAnsi"/>
        </w:rPr>
      </w:pPr>
    </w:p>
    <w:sectPr w:rsidR="001260EA" w:rsidRPr="00233D47" w:rsidSect="00114264">
      <w:headerReference w:type="default" r:id="rId8"/>
      <w:pgSz w:w="11906" w:h="16838"/>
      <w:pgMar w:top="1417" w:right="1417" w:bottom="993" w:left="1417" w:header="708" w:footer="0" w:gutter="0"/>
      <w:cols w:space="708"/>
      <w:formProt w:val="0"/>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66E2C" w14:textId="77777777" w:rsidR="00834595" w:rsidRDefault="00834595">
      <w:pPr>
        <w:spacing w:after="0" w:line="240" w:lineRule="auto"/>
      </w:pPr>
      <w:r>
        <w:separator/>
      </w:r>
    </w:p>
  </w:endnote>
  <w:endnote w:type="continuationSeparator" w:id="0">
    <w:p w14:paraId="6B43727D" w14:textId="77777777" w:rsidR="00834595" w:rsidRDefault="0083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1"/>
    <w:family w:val="roman"/>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0A41E" w14:textId="77777777" w:rsidR="00834595" w:rsidRDefault="00834595">
      <w:pPr>
        <w:spacing w:after="0" w:line="240" w:lineRule="auto"/>
      </w:pPr>
      <w:r>
        <w:separator/>
      </w:r>
    </w:p>
  </w:footnote>
  <w:footnote w:type="continuationSeparator" w:id="0">
    <w:p w14:paraId="64B9C237" w14:textId="77777777" w:rsidR="00834595" w:rsidRDefault="00834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0027" w14:textId="77777777" w:rsidR="001260EA" w:rsidRDefault="00973AC2">
    <w:pPr>
      <w:pStyle w:val="Hlavika"/>
    </w:pPr>
    <w:r>
      <w:rPr>
        <w:noProof/>
        <w:lang w:eastAsia="sk-SK"/>
      </w:rPr>
      <w:drawing>
        <wp:inline distT="0" distB="0" distL="0" distR="0" wp14:anchorId="61B38786" wp14:editId="3F630834">
          <wp:extent cx="826770" cy="835660"/>
          <wp:effectExtent l="0" t="0" r="0" b="0"/>
          <wp:docPr id="5" name="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1.jpg"/>
                  <pic:cNvPicPr>
                    <a:picLocks noChangeAspect="1" noChangeArrowheads="1"/>
                  </pic:cNvPicPr>
                </pic:nvPicPr>
                <pic:blipFill>
                  <a:blip r:embed="rId1"/>
                  <a:stretch>
                    <a:fillRect/>
                  </a:stretch>
                </pic:blipFill>
                <pic:spPr bwMode="auto">
                  <a:xfrm>
                    <a:off x="0" y="0"/>
                    <a:ext cx="826770" cy="835660"/>
                  </a:xfrm>
                  <a:prstGeom prst="rect">
                    <a:avLst/>
                  </a:prstGeom>
                </pic:spPr>
              </pic:pic>
            </a:graphicData>
          </a:graphic>
        </wp:inline>
      </w:drawing>
    </w:r>
  </w:p>
  <w:p w14:paraId="1CEE9B4E" w14:textId="77777777" w:rsidR="001260EA" w:rsidRDefault="001260EA">
    <w:pPr>
      <w:pStyle w:val="Hlavika"/>
    </w:pPr>
  </w:p>
  <w:p w14:paraId="08C8CF96" w14:textId="77777777" w:rsidR="001260EA" w:rsidRDefault="001260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17CE"/>
    <w:multiLevelType w:val="multilevel"/>
    <w:tmpl w:val="D9344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67E9C"/>
    <w:multiLevelType w:val="multilevel"/>
    <w:tmpl w:val="F1EC9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EE5E1D"/>
    <w:multiLevelType w:val="hybridMultilevel"/>
    <w:tmpl w:val="89842E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7A7193F"/>
    <w:multiLevelType w:val="hybridMultilevel"/>
    <w:tmpl w:val="6F2C58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EB4D47"/>
    <w:multiLevelType w:val="multilevel"/>
    <w:tmpl w:val="AAD4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E12D0B"/>
    <w:multiLevelType w:val="multilevel"/>
    <w:tmpl w:val="5E04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F77A7"/>
    <w:multiLevelType w:val="hybridMultilevel"/>
    <w:tmpl w:val="0FE04C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B374EE2"/>
    <w:multiLevelType w:val="hybridMultilevel"/>
    <w:tmpl w:val="18FA6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24680499">
    <w:abstractNumId w:val="6"/>
  </w:num>
  <w:num w:numId="2" w16cid:durableId="1139615903">
    <w:abstractNumId w:val="2"/>
  </w:num>
  <w:num w:numId="3" w16cid:durableId="1717119130">
    <w:abstractNumId w:val="3"/>
  </w:num>
  <w:num w:numId="4" w16cid:durableId="646202799">
    <w:abstractNumId w:val="7"/>
  </w:num>
  <w:num w:numId="5" w16cid:durableId="1605336481">
    <w:abstractNumId w:val="4"/>
  </w:num>
  <w:num w:numId="6" w16cid:durableId="886067762">
    <w:abstractNumId w:val="0"/>
  </w:num>
  <w:num w:numId="7" w16cid:durableId="81997221">
    <w:abstractNumId w:val="1"/>
  </w:num>
  <w:num w:numId="8" w16cid:durableId="1794129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4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0EA"/>
    <w:rsid w:val="000025FD"/>
    <w:rsid w:val="000032A4"/>
    <w:rsid w:val="0001349E"/>
    <w:rsid w:val="00015524"/>
    <w:rsid w:val="00043CB1"/>
    <w:rsid w:val="000628C6"/>
    <w:rsid w:val="00066367"/>
    <w:rsid w:val="00071464"/>
    <w:rsid w:val="000861E5"/>
    <w:rsid w:val="00086454"/>
    <w:rsid w:val="000951FE"/>
    <w:rsid w:val="000A01BC"/>
    <w:rsid w:val="000D3EAE"/>
    <w:rsid w:val="000E3807"/>
    <w:rsid w:val="000F6A79"/>
    <w:rsid w:val="000F6B15"/>
    <w:rsid w:val="000F7216"/>
    <w:rsid w:val="00114264"/>
    <w:rsid w:val="00117469"/>
    <w:rsid w:val="001260EA"/>
    <w:rsid w:val="0015308B"/>
    <w:rsid w:val="00160D53"/>
    <w:rsid w:val="001725C7"/>
    <w:rsid w:val="00181DA2"/>
    <w:rsid w:val="001835E3"/>
    <w:rsid w:val="00183C64"/>
    <w:rsid w:val="00187300"/>
    <w:rsid w:val="001A72E8"/>
    <w:rsid w:val="001A7B5E"/>
    <w:rsid w:val="001C0339"/>
    <w:rsid w:val="001E2CD6"/>
    <w:rsid w:val="001E45F9"/>
    <w:rsid w:val="001E664B"/>
    <w:rsid w:val="001F0589"/>
    <w:rsid w:val="002055B2"/>
    <w:rsid w:val="002205D0"/>
    <w:rsid w:val="00233D47"/>
    <w:rsid w:val="0023685C"/>
    <w:rsid w:val="002563C2"/>
    <w:rsid w:val="002571B4"/>
    <w:rsid w:val="002A2C0B"/>
    <w:rsid w:val="002A6542"/>
    <w:rsid w:val="002A73B9"/>
    <w:rsid w:val="002B2FF3"/>
    <w:rsid w:val="002E3E75"/>
    <w:rsid w:val="002F08F6"/>
    <w:rsid w:val="002F38DA"/>
    <w:rsid w:val="002F5EC5"/>
    <w:rsid w:val="002F7B11"/>
    <w:rsid w:val="00306C53"/>
    <w:rsid w:val="00314B7E"/>
    <w:rsid w:val="00314EA7"/>
    <w:rsid w:val="003151B6"/>
    <w:rsid w:val="003211F3"/>
    <w:rsid w:val="00321E8D"/>
    <w:rsid w:val="00342000"/>
    <w:rsid w:val="00342741"/>
    <w:rsid w:val="00355A4E"/>
    <w:rsid w:val="00360525"/>
    <w:rsid w:val="00361B0C"/>
    <w:rsid w:val="00372DCF"/>
    <w:rsid w:val="003809D0"/>
    <w:rsid w:val="00380F63"/>
    <w:rsid w:val="003842EC"/>
    <w:rsid w:val="003A781C"/>
    <w:rsid w:val="003B7E18"/>
    <w:rsid w:val="003C0B8B"/>
    <w:rsid w:val="00421BFF"/>
    <w:rsid w:val="0042367E"/>
    <w:rsid w:val="00425D6E"/>
    <w:rsid w:val="004338D2"/>
    <w:rsid w:val="00442E1F"/>
    <w:rsid w:val="004441A2"/>
    <w:rsid w:val="0044629B"/>
    <w:rsid w:val="00465F35"/>
    <w:rsid w:val="004763B3"/>
    <w:rsid w:val="00480423"/>
    <w:rsid w:val="00495247"/>
    <w:rsid w:val="00497FC7"/>
    <w:rsid w:val="004B6D73"/>
    <w:rsid w:val="004C0571"/>
    <w:rsid w:val="004E7CB9"/>
    <w:rsid w:val="00505215"/>
    <w:rsid w:val="00513522"/>
    <w:rsid w:val="0053528C"/>
    <w:rsid w:val="005655B2"/>
    <w:rsid w:val="0057552F"/>
    <w:rsid w:val="005832AA"/>
    <w:rsid w:val="00595BC4"/>
    <w:rsid w:val="005A6F95"/>
    <w:rsid w:val="005B3BD1"/>
    <w:rsid w:val="005B67DA"/>
    <w:rsid w:val="005D350C"/>
    <w:rsid w:val="005F74A4"/>
    <w:rsid w:val="00600425"/>
    <w:rsid w:val="00627146"/>
    <w:rsid w:val="00633B72"/>
    <w:rsid w:val="00637BE2"/>
    <w:rsid w:val="00644408"/>
    <w:rsid w:val="00650E53"/>
    <w:rsid w:val="006728AC"/>
    <w:rsid w:val="00674621"/>
    <w:rsid w:val="006A3405"/>
    <w:rsid w:val="006B7D68"/>
    <w:rsid w:val="006C0DFD"/>
    <w:rsid w:val="006D43AA"/>
    <w:rsid w:val="006E5D03"/>
    <w:rsid w:val="006E61F7"/>
    <w:rsid w:val="006F1F9D"/>
    <w:rsid w:val="006F5C2C"/>
    <w:rsid w:val="0070281F"/>
    <w:rsid w:val="00734A16"/>
    <w:rsid w:val="007467E8"/>
    <w:rsid w:val="0075055B"/>
    <w:rsid w:val="00775BFF"/>
    <w:rsid w:val="00792F8D"/>
    <w:rsid w:val="00796F64"/>
    <w:rsid w:val="007B7B63"/>
    <w:rsid w:val="007E2199"/>
    <w:rsid w:val="007E6B36"/>
    <w:rsid w:val="007F11D0"/>
    <w:rsid w:val="008030C5"/>
    <w:rsid w:val="00810C23"/>
    <w:rsid w:val="00825CDD"/>
    <w:rsid w:val="00826520"/>
    <w:rsid w:val="00834595"/>
    <w:rsid w:val="0083501E"/>
    <w:rsid w:val="00864021"/>
    <w:rsid w:val="00877FF2"/>
    <w:rsid w:val="008839D3"/>
    <w:rsid w:val="008921B9"/>
    <w:rsid w:val="008A58E7"/>
    <w:rsid w:val="008D3AFD"/>
    <w:rsid w:val="008E0E39"/>
    <w:rsid w:val="008E77D4"/>
    <w:rsid w:val="00900554"/>
    <w:rsid w:val="00905E63"/>
    <w:rsid w:val="00917BAE"/>
    <w:rsid w:val="00923127"/>
    <w:rsid w:val="009328FF"/>
    <w:rsid w:val="0093574A"/>
    <w:rsid w:val="00944E2C"/>
    <w:rsid w:val="0096044D"/>
    <w:rsid w:val="00963E95"/>
    <w:rsid w:val="009701B7"/>
    <w:rsid w:val="00973AC2"/>
    <w:rsid w:val="0098106A"/>
    <w:rsid w:val="0098138C"/>
    <w:rsid w:val="0099331D"/>
    <w:rsid w:val="00994474"/>
    <w:rsid w:val="009C161E"/>
    <w:rsid w:val="009D661E"/>
    <w:rsid w:val="009F27CE"/>
    <w:rsid w:val="009F2AE9"/>
    <w:rsid w:val="00A37839"/>
    <w:rsid w:val="00A37949"/>
    <w:rsid w:val="00A767A9"/>
    <w:rsid w:val="00A80547"/>
    <w:rsid w:val="00A8363B"/>
    <w:rsid w:val="00AA1E03"/>
    <w:rsid w:val="00AA41BF"/>
    <w:rsid w:val="00AB38D8"/>
    <w:rsid w:val="00AD0736"/>
    <w:rsid w:val="00AD24AF"/>
    <w:rsid w:val="00AD39C3"/>
    <w:rsid w:val="00B21861"/>
    <w:rsid w:val="00B311FD"/>
    <w:rsid w:val="00B32136"/>
    <w:rsid w:val="00B321B8"/>
    <w:rsid w:val="00B376B7"/>
    <w:rsid w:val="00B45A19"/>
    <w:rsid w:val="00B558EB"/>
    <w:rsid w:val="00B60186"/>
    <w:rsid w:val="00B608B3"/>
    <w:rsid w:val="00B6429D"/>
    <w:rsid w:val="00B7611D"/>
    <w:rsid w:val="00B8417C"/>
    <w:rsid w:val="00B96B44"/>
    <w:rsid w:val="00BA1433"/>
    <w:rsid w:val="00BA53CF"/>
    <w:rsid w:val="00BB02BC"/>
    <w:rsid w:val="00BB23CB"/>
    <w:rsid w:val="00BE2F5B"/>
    <w:rsid w:val="00BE4A39"/>
    <w:rsid w:val="00BF0639"/>
    <w:rsid w:val="00BF1D70"/>
    <w:rsid w:val="00BF6768"/>
    <w:rsid w:val="00C02EBC"/>
    <w:rsid w:val="00C1533D"/>
    <w:rsid w:val="00C1678E"/>
    <w:rsid w:val="00C2322B"/>
    <w:rsid w:val="00C32A65"/>
    <w:rsid w:val="00C479DA"/>
    <w:rsid w:val="00C96604"/>
    <w:rsid w:val="00CA0BA8"/>
    <w:rsid w:val="00CD223D"/>
    <w:rsid w:val="00CD4246"/>
    <w:rsid w:val="00CE060E"/>
    <w:rsid w:val="00CE09F6"/>
    <w:rsid w:val="00CE12D9"/>
    <w:rsid w:val="00D04BCC"/>
    <w:rsid w:val="00D431EC"/>
    <w:rsid w:val="00D71A12"/>
    <w:rsid w:val="00D8459E"/>
    <w:rsid w:val="00D86883"/>
    <w:rsid w:val="00DA6FCB"/>
    <w:rsid w:val="00DB122C"/>
    <w:rsid w:val="00DC148A"/>
    <w:rsid w:val="00DC2E3E"/>
    <w:rsid w:val="00DE02D1"/>
    <w:rsid w:val="00DE48A7"/>
    <w:rsid w:val="00DF1932"/>
    <w:rsid w:val="00DF4F7D"/>
    <w:rsid w:val="00E03EC0"/>
    <w:rsid w:val="00E0521A"/>
    <w:rsid w:val="00E11C59"/>
    <w:rsid w:val="00E14AE8"/>
    <w:rsid w:val="00E31112"/>
    <w:rsid w:val="00E4430F"/>
    <w:rsid w:val="00E5561B"/>
    <w:rsid w:val="00E74AE9"/>
    <w:rsid w:val="00E86F36"/>
    <w:rsid w:val="00EB3DFD"/>
    <w:rsid w:val="00EB4250"/>
    <w:rsid w:val="00EB6684"/>
    <w:rsid w:val="00EC128B"/>
    <w:rsid w:val="00ED2A03"/>
    <w:rsid w:val="00ED6696"/>
    <w:rsid w:val="00F112B9"/>
    <w:rsid w:val="00F23B2E"/>
    <w:rsid w:val="00F2577D"/>
    <w:rsid w:val="00F506F7"/>
    <w:rsid w:val="00F61FAE"/>
    <w:rsid w:val="00F629FC"/>
    <w:rsid w:val="00F64BE7"/>
    <w:rsid w:val="00F707AB"/>
    <w:rsid w:val="00F80350"/>
    <w:rsid w:val="00F86409"/>
    <w:rsid w:val="00F872A2"/>
    <w:rsid w:val="00F92F00"/>
    <w:rsid w:val="00FA11F6"/>
    <w:rsid w:val="00FA4C11"/>
    <w:rsid w:val="00FA699E"/>
    <w:rsid w:val="00FE27C0"/>
    <w:rsid w:val="00FF6D8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B9DE"/>
  <w15:docId w15:val="{D5560C0B-248A-4122-97D5-5CBFF03C5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Arial Unicode MS"/>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eastAsia="Calibri"/>
      <w:color w:val="00000A"/>
      <w:sz w:val="22"/>
    </w:rPr>
  </w:style>
  <w:style w:type="paragraph" w:styleId="Nadpis2">
    <w:name w:val="heading 2"/>
    <w:basedOn w:val="Normlny"/>
    <w:qFormat/>
    <w:pPr>
      <w:widowControl w:val="0"/>
      <w:spacing w:before="200" w:after="120"/>
      <w:outlineLvl w:val="1"/>
    </w:pPr>
    <w:rPr>
      <w:rFonts w:ascii="Liberation Serif" w:eastAsia="Tahoma" w:hAnsi="Liberation Serif" w:cs="Tahoma"/>
      <w:b/>
      <w:bCs/>
      <w:sz w:val="36"/>
      <w:szCs w:val="36"/>
    </w:rPr>
  </w:style>
  <w:style w:type="paragraph" w:styleId="Nadpis3">
    <w:name w:val="heading 3"/>
    <w:basedOn w:val="Normlny"/>
    <w:next w:val="Normlny"/>
    <w:link w:val="Nadpis3Char"/>
    <w:uiPriority w:val="9"/>
    <w:semiHidden/>
    <w:unhideWhenUsed/>
    <w:qFormat/>
    <w:rsid w:val="00825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style>
  <w:style w:type="character" w:customStyle="1" w:styleId="PtaChar">
    <w:name w:val="Päta Char"/>
    <w:basedOn w:val="Predvolenpsmoodseku"/>
    <w:link w:val="Pta"/>
    <w:uiPriority w:val="99"/>
    <w:qFormat/>
  </w:style>
  <w:style w:type="character" w:customStyle="1" w:styleId="InternetLink">
    <w:name w:val="Internet Link"/>
    <w:basedOn w:val="Predvolenpsmoodseku"/>
    <w:uiPriority w:val="99"/>
    <w:unhideWhenUsed/>
    <w:rsid w:val="008D72DA"/>
    <w:rPr>
      <w:color w:val="0563C1" w:themeColor="hyperlink"/>
      <w:u w:val="single"/>
    </w:rPr>
  </w:style>
  <w:style w:type="character" w:customStyle="1" w:styleId="TextbublinyChar">
    <w:name w:val="Text bubliny Char"/>
    <w:basedOn w:val="Predvolenpsmoodseku"/>
    <w:link w:val="Textbubliny"/>
    <w:uiPriority w:val="99"/>
    <w:qFormat/>
    <w:rPr>
      <w:rFonts w:ascii="Tahoma" w:hAnsi="Tahoma" w:cs="Tahoma"/>
      <w:color w:val="00000A"/>
      <w:sz w:val="16"/>
      <w:szCs w:val="16"/>
    </w:rPr>
  </w:style>
  <w:style w:type="character" w:customStyle="1" w:styleId="ListLabel1">
    <w:name w:val="ListLabel 1"/>
    <w:qFormat/>
  </w:style>
  <w:style w:type="character" w:customStyle="1" w:styleId="ListLabel2">
    <w:name w:val="ListLabel 2"/>
    <w:qFormat/>
  </w:style>
  <w:style w:type="character" w:customStyle="1" w:styleId="ListLabel3">
    <w:name w:val="ListLabel 3"/>
    <w:qFormat/>
  </w:style>
  <w:style w:type="character" w:customStyle="1" w:styleId="Silnzvraznenie">
    <w:name w:val="Silné zvýraznenie"/>
    <w:qFormat/>
    <w:rPr>
      <w:b/>
      <w:bCs/>
    </w:rPr>
  </w:style>
  <w:style w:type="character" w:customStyle="1" w:styleId="ListLabel4">
    <w:name w:val="ListLabel 4"/>
    <w:qFormat/>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customStyle="1" w:styleId="Internetovodkaz">
    <w:name w:val="Internetový odkaz"/>
    <w:qFormat/>
    <w:rPr>
      <w:color w:val="000080"/>
      <w:u w:val="single"/>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style>
  <w:style w:type="character" w:customStyle="1" w:styleId="ListLabel12">
    <w:name w:val="ListLabel 12"/>
    <w:qFormat/>
  </w:style>
  <w:style w:type="character" w:customStyle="1" w:styleId="ListLabel13">
    <w:name w:val="ListLabel 13"/>
    <w:qFormat/>
  </w:style>
  <w:style w:type="character" w:customStyle="1" w:styleId="StrongEmphasis">
    <w:name w:val="Strong Emphasis"/>
    <w:qFormat/>
    <w:rPr>
      <w:b/>
      <w:bCs/>
    </w:rPr>
  </w:style>
  <w:style w:type="character" w:customStyle="1" w:styleId="ListLabel14">
    <w:name w:val="ListLabel 14"/>
    <w:qFormat/>
  </w:style>
  <w:style w:type="paragraph" w:customStyle="1" w:styleId="Heading">
    <w:name w:val="Heading"/>
    <w:basedOn w:val="Normlny"/>
    <w:next w:val="Zkladntext"/>
    <w:qFormat/>
    <w:pPr>
      <w:keepNext/>
      <w:spacing w:before="240" w:after="120"/>
    </w:pPr>
    <w:rPr>
      <w:rFonts w:ascii="Liberation Sans" w:eastAsia="Arial Unicode MS" w:hAnsi="Liberation Sans"/>
      <w:sz w:val="28"/>
      <w:szCs w:val="28"/>
    </w:rPr>
  </w:style>
  <w:style w:type="paragraph" w:styleId="Zkladntext">
    <w:name w:val="Body Text"/>
    <w:basedOn w:val="Normlny"/>
    <w:pPr>
      <w:spacing w:after="140" w:line="288" w:lineRule="auto"/>
    </w:pPr>
  </w:style>
  <w:style w:type="paragraph" w:styleId="Zoznam">
    <w:name w:val="List"/>
    <w:basedOn w:val="Zkladntext"/>
  </w:style>
  <w:style w:type="paragraph" w:styleId="Popis">
    <w:name w:val="caption"/>
    <w:basedOn w:val="Normlny"/>
    <w:qFormat/>
    <w:pPr>
      <w:spacing w:before="120" w:after="120"/>
    </w:pPr>
    <w:rPr>
      <w:i/>
      <w:sz w:val="24"/>
      <w:szCs w:val="24"/>
    </w:rPr>
  </w:style>
  <w:style w:type="paragraph" w:customStyle="1" w:styleId="Index">
    <w:name w:val="Index"/>
    <w:basedOn w:val="Normlny"/>
    <w:qFormat/>
  </w:style>
  <w:style w:type="paragraph" w:customStyle="1" w:styleId="Nadpis">
    <w:name w:val="Nadpis"/>
    <w:basedOn w:val="Normlny"/>
    <w:qFormat/>
    <w:pPr>
      <w:keepNext/>
      <w:spacing w:before="240" w:after="120"/>
    </w:pPr>
    <w:rPr>
      <w:rFonts w:ascii="Liberation Sans" w:eastAsia="Arial Unicode MS" w:hAnsi="Liberation Sans"/>
      <w:sz w:val="28"/>
      <w:szCs w:val="28"/>
    </w:rPr>
  </w:style>
  <w:style w:type="paragraph" w:styleId="Hlavika">
    <w:name w:val="header"/>
    <w:basedOn w:val="Normlny"/>
    <w:link w:val="HlavikaChar"/>
    <w:uiPriority w:val="99"/>
    <w:pPr>
      <w:tabs>
        <w:tab w:val="center" w:pos="4536"/>
        <w:tab w:val="right" w:pos="9072"/>
      </w:tabs>
      <w:spacing w:after="0" w:line="240" w:lineRule="auto"/>
    </w:pPr>
  </w:style>
  <w:style w:type="paragraph" w:styleId="Pta">
    <w:name w:val="footer"/>
    <w:basedOn w:val="Normlny"/>
    <w:link w:val="PtaChar"/>
    <w:uiPriority w:val="99"/>
    <w:pPr>
      <w:tabs>
        <w:tab w:val="center" w:pos="4536"/>
        <w:tab w:val="right" w:pos="9072"/>
      </w:tabs>
      <w:spacing w:after="0" w:line="240" w:lineRule="auto"/>
    </w:pPr>
  </w:style>
  <w:style w:type="paragraph" w:styleId="Textbubliny">
    <w:name w:val="Balloon Text"/>
    <w:basedOn w:val="Normlny"/>
    <w:link w:val="TextbublinyChar"/>
    <w:uiPriority w:val="99"/>
    <w:qFormat/>
    <w:pPr>
      <w:spacing w:after="0" w:line="240" w:lineRule="auto"/>
    </w:pPr>
    <w:rPr>
      <w:rFonts w:ascii="Tahoma" w:hAnsi="Tahoma" w:cs="Tahoma"/>
      <w:sz w:val="16"/>
      <w:szCs w:val="16"/>
    </w:rPr>
  </w:style>
  <w:style w:type="paragraph" w:customStyle="1" w:styleId="TableContents">
    <w:name w:val="Table Contents"/>
    <w:basedOn w:val="Normlny"/>
    <w:qFormat/>
    <w:pPr>
      <w:suppressLineNumbers/>
    </w:pPr>
  </w:style>
  <w:style w:type="paragraph" w:customStyle="1" w:styleId="TableHeading">
    <w:name w:val="Table Heading"/>
    <w:basedOn w:val="TableContents"/>
    <w:qFormat/>
    <w:pPr>
      <w:jc w:val="center"/>
    </w:pPr>
    <w:rPr>
      <w:b/>
      <w:bCs/>
    </w:rPr>
  </w:style>
  <w:style w:type="character" w:styleId="Hypertextovprepojenie">
    <w:name w:val="Hyperlink"/>
    <w:basedOn w:val="Predvolenpsmoodseku"/>
    <w:uiPriority w:val="99"/>
    <w:unhideWhenUsed/>
    <w:rsid w:val="00B96B44"/>
    <w:rPr>
      <w:color w:val="0563C1" w:themeColor="hyperlink"/>
      <w:u w:val="single"/>
    </w:rPr>
  </w:style>
  <w:style w:type="character" w:styleId="Nevyrieenzmienka">
    <w:name w:val="Unresolved Mention"/>
    <w:basedOn w:val="Predvolenpsmoodseku"/>
    <w:uiPriority w:val="99"/>
    <w:semiHidden/>
    <w:unhideWhenUsed/>
    <w:rsid w:val="00B96B44"/>
    <w:rPr>
      <w:color w:val="605E5C"/>
      <w:shd w:val="clear" w:color="auto" w:fill="E1DFDD"/>
    </w:rPr>
  </w:style>
  <w:style w:type="character" w:styleId="PouitHypertextovPrepojenie">
    <w:name w:val="FollowedHyperlink"/>
    <w:basedOn w:val="Predvolenpsmoodseku"/>
    <w:uiPriority w:val="99"/>
    <w:semiHidden/>
    <w:unhideWhenUsed/>
    <w:rsid w:val="00F23B2E"/>
    <w:rPr>
      <w:color w:val="954F72" w:themeColor="followedHyperlink"/>
      <w:u w:val="single"/>
    </w:rPr>
  </w:style>
  <w:style w:type="paragraph" w:styleId="Odsekzoznamu">
    <w:name w:val="List Paragraph"/>
    <w:basedOn w:val="Normlny"/>
    <w:uiPriority w:val="34"/>
    <w:qFormat/>
    <w:rsid w:val="005B67DA"/>
    <w:pPr>
      <w:spacing w:after="200" w:line="276" w:lineRule="auto"/>
      <w:ind w:left="720"/>
      <w:contextualSpacing/>
    </w:pPr>
    <w:rPr>
      <w:rFonts w:asciiTheme="minorHAnsi" w:eastAsiaTheme="minorHAnsi" w:hAnsiTheme="minorHAnsi" w:cstheme="minorBidi"/>
      <w:color w:val="auto"/>
    </w:rPr>
  </w:style>
  <w:style w:type="paragraph" w:styleId="Normlnywebov">
    <w:name w:val="Normal (Web)"/>
    <w:basedOn w:val="Normlny"/>
    <w:uiPriority w:val="99"/>
    <w:semiHidden/>
    <w:unhideWhenUsed/>
    <w:rsid w:val="00825CDD"/>
    <w:rPr>
      <w:rFonts w:ascii="Times New Roman" w:hAnsi="Times New Roman" w:cs="Times New Roman"/>
      <w:sz w:val="24"/>
      <w:szCs w:val="24"/>
    </w:rPr>
  </w:style>
  <w:style w:type="character" w:customStyle="1" w:styleId="Nadpis3Char">
    <w:name w:val="Nadpis 3 Char"/>
    <w:basedOn w:val="Predvolenpsmoodseku"/>
    <w:link w:val="Nadpis3"/>
    <w:uiPriority w:val="9"/>
    <w:semiHidden/>
    <w:rsid w:val="00825CD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29113">
      <w:bodyDiv w:val="1"/>
      <w:marLeft w:val="0"/>
      <w:marRight w:val="0"/>
      <w:marTop w:val="0"/>
      <w:marBottom w:val="0"/>
      <w:divBdr>
        <w:top w:val="none" w:sz="0" w:space="0" w:color="auto"/>
        <w:left w:val="none" w:sz="0" w:space="0" w:color="auto"/>
        <w:bottom w:val="none" w:sz="0" w:space="0" w:color="auto"/>
        <w:right w:val="none" w:sz="0" w:space="0" w:color="auto"/>
      </w:divBdr>
    </w:div>
    <w:div w:id="907308482">
      <w:bodyDiv w:val="1"/>
      <w:marLeft w:val="0"/>
      <w:marRight w:val="0"/>
      <w:marTop w:val="0"/>
      <w:marBottom w:val="0"/>
      <w:divBdr>
        <w:top w:val="none" w:sz="0" w:space="0" w:color="auto"/>
        <w:left w:val="none" w:sz="0" w:space="0" w:color="auto"/>
        <w:bottom w:val="none" w:sz="0" w:space="0" w:color="auto"/>
        <w:right w:val="none" w:sz="0" w:space="0" w:color="auto"/>
      </w:divBdr>
    </w:div>
    <w:div w:id="1109591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lovakiaring.sk/sk/omv-maxxmotion-velka-cena-slovenskej-republiky-tcr-eastern-europe-2026?utm_source=tlacovasprava1&amp;utm_medium=ecomail&amp;utm_campaign=VCSR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660</Words>
  <Characters>3763</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Trenkler</dc:creator>
  <dc:description/>
  <cp:lastModifiedBy>Radovan Antol</cp:lastModifiedBy>
  <cp:revision>4</cp:revision>
  <cp:lastPrinted>2024-10-20T15:22:00Z</cp:lastPrinted>
  <dcterms:created xsi:type="dcterms:W3CDTF">2026-08-04T07:37:00Z</dcterms:created>
  <dcterms:modified xsi:type="dcterms:W3CDTF">2026-08-23T15:39:00Z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-368139003</vt:i4>
  </property>
</Properties>
</file>