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3DE2B" w14:textId="7909C9F5" w:rsidR="00B96B44" w:rsidRPr="00B96B44" w:rsidRDefault="00F92F00" w:rsidP="00B96B44">
      <w:pPr>
        <w:pStyle w:val="Zkladntex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Race Academy má za sebou prvý turnus</w:t>
      </w:r>
    </w:p>
    <w:p w14:paraId="1FEEE4A6" w14:textId="03599C8D" w:rsidR="00B96B44" w:rsidRDefault="00B96B44" w:rsidP="00B96B44">
      <w:pPr>
        <w:pStyle w:val="Zkladntext"/>
        <w:jc w:val="both"/>
        <w:rPr>
          <w:b/>
          <w:bCs/>
        </w:rPr>
      </w:pPr>
      <w:r w:rsidRPr="00B96B44">
        <w:rPr>
          <w:b/>
          <w:bCs/>
        </w:rPr>
        <w:t xml:space="preserve">Orechová Potôň, </w:t>
      </w:r>
      <w:r w:rsidR="00DA6FCB">
        <w:rPr>
          <w:b/>
          <w:bCs/>
        </w:rPr>
        <w:t>22</w:t>
      </w:r>
      <w:r w:rsidRPr="00B96B44">
        <w:rPr>
          <w:b/>
          <w:bCs/>
        </w:rPr>
        <w:t xml:space="preserve">. </w:t>
      </w:r>
      <w:r w:rsidR="00DA6FCB">
        <w:rPr>
          <w:b/>
          <w:bCs/>
        </w:rPr>
        <w:t>jún</w:t>
      </w:r>
      <w:r w:rsidRPr="00B96B44">
        <w:rPr>
          <w:b/>
          <w:bCs/>
        </w:rPr>
        <w:t xml:space="preserve"> 2021 </w:t>
      </w:r>
      <w:r w:rsidR="00DA6FCB">
        <w:rPr>
          <w:b/>
          <w:bCs/>
        </w:rPr>
        <w:t>–</w:t>
      </w:r>
      <w:r w:rsidRPr="00B96B44">
        <w:rPr>
          <w:b/>
          <w:bCs/>
        </w:rPr>
        <w:t xml:space="preserve"> </w:t>
      </w:r>
      <w:r w:rsidR="00F92F00">
        <w:rPr>
          <w:b/>
          <w:bCs/>
        </w:rPr>
        <w:t xml:space="preserve">Race Academy </w:t>
      </w:r>
      <w:r w:rsidR="00963E95">
        <w:rPr>
          <w:b/>
          <w:bCs/>
        </w:rPr>
        <w:t>-</w:t>
      </w:r>
      <w:r w:rsidR="00F92F00">
        <w:rPr>
          <w:b/>
          <w:bCs/>
        </w:rPr>
        <w:t xml:space="preserve"> d</w:t>
      </w:r>
      <w:r w:rsidR="00DA6FCB">
        <w:rPr>
          <w:b/>
          <w:bCs/>
        </w:rPr>
        <w:t xml:space="preserve">etská </w:t>
      </w:r>
      <w:r w:rsidR="00F92F00">
        <w:rPr>
          <w:b/>
          <w:bCs/>
        </w:rPr>
        <w:t xml:space="preserve">motokárová </w:t>
      </w:r>
      <w:r w:rsidR="00DA6FCB">
        <w:rPr>
          <w:b/>
          <w:bCs/>
        </w:rPr>
        <w:t>akadémia</w:t>
      </w:r>
      <w:r w:rsidR="00F92F00">
        <w:rPr>
          <w:b/>
          <w:bCs/>
        </w:rPr>
        <w:t xml:space="preserve"> </w:t>
      </w:r>
      <w:r w:rsidR="009F2AE9">
        <w:rPr>
          <w:b/>
          <w:bCs/>
        </w:rPr>
        <w:t xml:space="preserve">na SLOVAKIA RINGU </w:t>
      </w:r>
      <w:r w:rsidR="00F92F00">
        <w:rPr>
          <w:b/>
          <w:bCs/>
        </w:rPr>
        <w:t xml:space="preserve">úspešne dokončila svoj prvý </w:t>
      </w:r>
      <w:r w:rsidR="009F2AE9">
        <w:rPr>
          <w:b/>
          <w:bCs/>
        </w:rPr>
        <w:t xml:space="preserve">základný </w:t>
      </w:r>
      <w:r w:rsidR="00F92F00">
        <w:rPr>
          <w:b/>
          <w:bCs/>
        </w:rPr>
        <w:t>turnus a predstavila svojich prvých detských absolventov.</w:t>
      </w:r>
    </w:p>
    <w:p w14:paraId="4EE6A311" w14:textId="638B287D" w:rsidR="00F92F00" w:rsidRDefault="00F92F00" w:rsidP="00B96B44">
      <w:pPr>
        <w:pStyle w:val="Zkladntext"/>
        <w:jc w:val="both"/>
      </w:pPr>
      <w:r w:rsidRPr="0083501E">
        <w:t xml:space="preserve">Presne 6 týždňov trval základný kurz detskej akadémie MINI RACE, ktorý je určený pre deti od 7 do 10 rokov. Hoci prvé dve lekcie boli poznačené nepriaznivým </w:t>
      </w:r>
      <w:r w:rsidR="009F2AE9">
        <w:t xml:space="preserve">daždivým </w:t>
      </w:r>
      <w:r w:rsidRPr="0083501E">
        <w:t>počasím a deti trávili čas prevažne v</w:t>
      </w:r>
      <w:r w:rsidR="0083501E" w:rsidRPr="0083501E">
        <w:t> </w:t>
      </w:r>
      <w:r w:rsidRPr="0083501E">
        <w:t>učebniach</w:t>
      </w:r>
      <w:r w:rsidR="0083501E" w:rsidRPr="0083501E">
        <w:t>, nič to neubralo na celkovom zážitku a miere poznatkov získaných počas zostávajúcich 4 lekcií. Tie už boli zamerané na jazdeni</w:t>
      </w:r>
      <w:r w:rsidR="009F2AE9">
        <w:t>e</w:t>
      </w:r>
      <w:r w:rsidR="0083501E" w:rsidRPr="0083501E">
        <w:t xml:space="preserve">, ale hlavne na správne </w:t>
      </w:r>
      <w:r w:rsidR="009F2AE9">
        <w:t xml:space="preserve">nastupovanie/vystupovanie, </w:t>
      </w:r>
      <w:r w:rsidR="0083501E" w:rsidRPr="0083501E">
        <w:t xml:space="preserve">sedenie, ovládanie brzdového a plynového pedálu, celkovej </w:t>
      </w:r>
      <w:r w:rsidR="008A58E7" w:rsidRPr="0083501E">
        <w:t>koordinácie</w:t>
      </w:r>
      <w:r w:rsidR="0083501E" w:rsidRPr="0083501E">
        <w:t xml:space="preserve"> a koncentrácie</w:t>
      </w:r>
      <w:r w:rsidR="009F2AE9" w:rsidRPr="0083501E">
        <w:t>.</w:t>
      </w:r>
      <w:r w:rsidR="0083501E" w:rsidRPr="0083501E">
        <w:t xml:space="preserve"> Základom celého jazdeni</w:t>
      </w:r>
      <w:r w:rsidR="009F2AE9">
        <w:t>a</w:t>
      </w:r>
      <w:r w:rsidR="0083501E" w:rsidRPr="0083501E">
        <w:t xml:space="preserve"> vôbec</w:t>
      </w:r>
      <w:r w:rsidR="009F2AE9">
        <w:t xml:space="preserve"> je ale teória a</w:t>
      </w:r>
      <w:r w:rsidR="0083501E" w:rsidRPr="0083501E">
        <w:t xml:space="preserve"> hlavne počúvanie a dodržiavanie pokynov inštruktorov.</w:t>
      </w:r>
      <w:r w:rsidR="006A3405">
        <w:t xml:space="preserve"> </w:t>
      </w:r>
      <w:r w:rsidR="006A3405" w:rsidRPr="0083501E">
        <w:t>Výrazy ako apex, brzdné body, ideálna stopa či vlajková signalizácia – to všetko si v deti v teórii naštudovali a počas praktických jázd aj vyskúšali.</w:t>
      </w:r>
      <w:r w:rsidR="0083501E" w:rsidRPr="0083501E">
        <w:t xml:space="preserve"> O zmysluplnosti celého kurzu a projektu ako takého svedčí aj výpoveď jedného z rodičov: </w:t>
      </w:r>
      <w:r w:rsidR="0083501E">
        <w:t xml:space="preserve">„Som rád, že takýto projekt </w:t>
      </w:r>
      <w:r w:rsidR="00E31112">
        <w:t xml:space="preserve">pre deti </w:t>
      </w:r>
      <w:r w:rsidR="0083501E">
        <w:t xml:space="preserve">vznikol a hneď ako sa naskytla </w:t>
      </w:r>
      <w:r w:rsidR="00E31112">
        <w:t xml:space="preserve">prvá </w:t>
      </w:r>
      <w:r w:rsidR="0083501E">
        <w:t>príležitosť som syna do kurzu prihlásil. Sám jazdím na veľkom okruhu</w:t>
      </w:r>
      <w:r w:rsidR="00E31112">
        <w:t>, na motokáry chodím pravidelne aj so staršou dcérou a je naozaj na nezaplatenie, ak si správnu techniku jazdy a zaobchádzanie s motokárou deti osvoja už vo svojich ranných rokoch. Určite v tom chceme pokračovať</w:t>
      </w:r>
      <w:r w:rsidR="006A3405">
        <w:t xml:space="preserve"> aj naďalej</w:t>
      </w:r>
      <w:r w:rsidR="00E31112">
        <w:t xml:space="preserve">, už teraz sa tešíme </w:t>
      </w:r>
      <w:r w:rsidR="00F64BE7">
        <w:t xml:space="preserve"> </w:t>
      </w:r>
      <w:r w:rsidR="00E31112">
        <w:t xml:space="preserve">na ďalšie </w:t>
      </w:r>
      <w:r w:rsidR="00963E95">
        <w:t>lekcie</w:t>
      </w:r>
      <w:r w:rsidR="00E31112">
        <w:t>“. „Bola som prekvapená</w:t>
      </w:r>
      <w:r w:rsidR="00F64BE7">
        <w:t>,</w:t>
      </w:r>
      <w:r w:rsidR="00E31112">
        <w:t xml:space="preserve"> ako rýchlo sa deti dokážu učiť. Oceňujem hlavne prístup inštruktorov a to, že deti priviedli aj k</w:t>
      </w:r>
      <w:r w:rsidR="008A58E7">
        <w:t> </w:t>
      </w:r>
      <w:r w:rsidR="00E31112">
        <w:t>disciplíne</w:t>
      </w:r>
      <w:r w:rsidR="008A58E7">
        <w:t xml:space="preserve"> a vzájomnému rešpektovaniu“ – dodáva jedna z rodičov. Akadémiu vo svojom úvodnom turnuse dokončilo nakoniec 7 detí.</w:t>
      </w:r>
    </w:p>
    <w:p w14:paraId="3F533530" w14:textId="39689415" w:rsidR="000025FD" w:rsidRDefault="000025FD" w:rsidP="00B96B44">
      <w:pPr>
        <w:pStyle w:val="Zkladntext"/>
        <w:jc w:val="both"/>
      </w:pPr>
      <w:r>
        <w:t>Slovenské motokárové centrum si pri svojom zrode v roku 2019 dalo za jeden z cieľov hľadanie a výchovu mladých talentov. Race Academy je prvým krokom k jeho naplneniu a predstavuje ideálnu štartovaciu čiaru budúcich slovenských pretekárov.</w:t>
      </w:r>
    </w:p>
    <w:p w14:paraId="600F0502" w14:textId="7C05AFAF" w:rsidR="008A58E7" w:rsidRPr="0083501E" w:rsidRDefault="008A58E7" w:rsidP="00B96B44">
      <w:pPr>
        <w:pStyle w:val="Zkladntext"/>
        <w:jc w:val="both"/>
      </w:pPr>
      <w:r>
        <w:t>„Už o týždeň otvárame nový turnus základného kurzu, záujem zo strany rodičov rastie z</w:t>
      </w:r>
      <w:r w:rsidR="00600425">
        <w:t>o</w:t>
      </w:r>
      <w:r>
        <w:t> dňa na deň, čo nás naozaj teší. Rovnako otvárame budúci týždeň aj nadstavbovú časť KADE</w:t>
      </w:r>
      <w:r w:rsidR="00380F63">
        <w:t>T</w:t>
      </w:r>
      <w:r>
        <w:t xml:space="preserve"> RACE, ktorá je určená pre absolventov základnej časti“ – hovorí hlavný inštruktor a „otec </w:t>
      </w:r>
      <w:r w:rsidR="006A3405">
        <w:t>projektu</w:t>
      </w:r>
      <w:r>
        <w:t>“ Simon Krasňanský, ktorý je zároveň aj prevádzkovým manažérom Slovenského motokárového centra na Slovakia Ringu.</w:t>
      </w:r>
    </w:p>
    <w:p w14:paraId="11195E67" w14:textId="60AB18B6" w:rsidR="00F92F00" w:rsidRDefault="00600425" w:rsidP="00B96B44">
      <w:pPr>
        <w:pStyle w:val="Zkladntext"/>
        <w:jc w:val="both"/>
        <w:rPr>
          <w:b/>
          <w:bCs/>
        </w:rPr>
      </w:pPr>
      <w:r>
        <w:rPr>
          <w:b/>
          <w:bCs/>
        </w:rPr>
        <w:t xml:space="preserve">Viac informácií o akadémii, termínoch a registrácii nájdete na </w:t>
      </w:r>
      <w:hyperlink r:id="rId6" w:history="1">
        <w:r w:rsidRPr="00023D47">
          <w:rPr>
            <w:rStyle w:val="Hypertextovprepojenie"/>
            <w:b/>
            <w:bCs/>
          </w:rPr>
          <w:t>https://slovakiaring.sk/sk/detska-akademia</w:t>
        </w:r>
      </w:hyperlink>
      <w:r>
        <w:rPr>
          <w:b/>
          <w:bCs/>
        </w:rPr>
        <w:t xml:space="preserve"> </w:t>
      </w:r>
    </w:p>
    <w:p w14:paraId="6A6E1A3E" w14:textId="77777777" w:rsidR="00F92F00" w:rsidRPr="00F92F00" w:rsidRDefault="00F92F00" w:rsidP="00B96B44">
      <w:pPr>
        <w:pStyle w:val="Zkladntext"/>
        <w:jc w:val="both"/>
      </w:pPr>
    </w:p>
    <w:p w14:paraId="78226963" w14:textId="365E39AC" w:rsidR="001260EA" w:rsidRPr="00B96B44" w:rsidRDefault="00973AC2">
      <w:r w:rsidRPr="00B96B44">
        <w:rPr>
          <w:i/>
        </w:rPr>
        <w:t>***</w:t>
      </w:r>
    </w:p>
    <w:p w14:paraId="5B31F027" w14:textId="77777777" w:rsidR="001260EA" w:rsidRPr="00B96B44" w:rsidRDefault="00973AC2">
      <w:r w:rsidRPr="00B96B44">
        <w:rPr>
          <w:b/>
          <w:i/>
        </w:rPr>
        <w:t>Okruh SLOVAKIA RING / Areál SLOVAKIA RING</w:t>
      </w:r>
    </w:p>
    <w:p w14:paraId="25D6E54E" w14:textId="77777777" w:rsidR="001260EA" w:rsidRPr="00B96B44" w:rsidRDefault="00973AC2">
      <w:pPr>
        <w:jc w:val="both"/>
      </w:pPr>
      <w:r w:rsidRPr="00B96B44">
        <w:rPr>
          <w:i/>
        </w:rPr>
        <w:t xml:space="preserve">SLOVAKIA RING je profesionálny pretekársky okruh s licenciou FIA 2. stupňa, jediný svojho druhu na Slovensku. S celkovou dĺžkou 5922 m sa radí medzi najdlhšie v Európe. Kvalitatívnymi a bezpečnostnými parametrami vytvára okruh zázemie pre prestížne svetové šampionáty pod hlavičkami FIA a FIM. Od roku 2010 prináša podujatia pre profesionálnych jazdcov, amatérov, firmy a širokú verejnosť. </w:t>
      </w:r>
    </w:p>
    <w:p w14:paraId="4027B2B5" w14:textId="488DF53E" w:rsidR="001260EA" w:rsidRPr="00B96B44" w:rsidRDefault="00973AC2">
      <w:pPr>
        <w:spacing w:line="240" w:lineRule="auto"/>
        <w:jc w:val="both"/>
      </w:pPr>
      <w:r w:rsidRPr="00B96B44">
        <w:rPr>
          <w:i/>
        </w:rPr>
        <w:t xml:space="preserve">SLOVAKIA RING pri Orechovej Potôni predstavuje jedinečný areál - jediný svojho druhu na Slovensku. Ponúka možnosti jazdiť na profesionálnom automotodróme, zdokonaliť sa v škole bezpečnej jazdy, </w:t>
      </w:r>
      <w:r w:rsidRPr="00B96B44">
        <w:rPr>
          <w:i/>
        </w:rPr>
        <w:lastRenderedPageBreak/>
        <w:t xml:space="preserve">vyskúšať si terénnu jazdu vo vynovenom </w:t>
      </w:r>
      <w:r w:rsidRPr="00B96B44">
        <w:rPr>
          <w:b/>
          <w:i/>
        </w:rPr>
        <w:t>off-road areáli</w:t>
      </w:r>
      <w:r w:rsidRPr="00B96B44">
        <w:rPr>
          <w:i/>
        </w:rPr>
        <w:t xml:space="preserve"> a užiť si relax v hoteli. Súčasťou širšieho areálu je aj </w:t>
      </w:r>
      <w:r w:rsidRPr="00B96B44">
        <w:rPr>
          <w:b/>
          <w:i/>
        </w:rPr>
        <w:t xml:space="preserve">Malkia Park </w:t>
      </w:r>
      <w:r w:rsidRPr="00B96B44">
        <w:rPr>
          <w:i/>
        </w:rPr>
        <w:t>-</w:t>
      </w:r>
      <w:r w:rsidRPr="00B96B44">
        <w:rPr>
          <w:b/>
          <w:i/>
        </w:rPr>
        <w:t xml:space="preserve"> </w:t>
      </w:r>
      <w:r w:rsidRPr="00B96B44">
        <w:rPr>
          <w:i/>
        </w:rPr>
        <w:t xml:space="preserve">útočisko pre exotické zvieratá. K novým atrakciám patrí tiež </w:t>
      </w:r>
      <w:r w:rsidRPr="00B96B44">
        <w:rPr>
          <w:b/>
          <w:i/>
        </w:rPr>
        <w:t>Vojenské múzeum.</w:t>
      </w:r>
      <w:r w:rsidRPr="00B96B44">
        <w:rPr>
          <w:i/>
        </w:rPr>
        <w:t xml:space="preserve"> Pre všetkých, ktorí si chcú preveriť a zdokonaliť svoje jazdecké zručnosti - či už na aute alebo motocykle, je pripravené profesionálne </w:t>
      </w:r>
      <w:r w:rsidRPr="00B96B44">
        <w:rPr>
          <w:b/>
          <w:i/>
        </w:rPr>
        <w:t>CENTRUM BEZPEČNEJ JAZDY</w:t>
      </w:r>
      <w:r w:rsidRPr="00B96B44">
        <w:rPr>
          <w:i/>
        </w:rPr>
        <w:t xml:space="preserve"> s najmodernejším tréningovým cvičiskom v strednej Európe. Po aktívnom výkone si môžete dopriať výdatný obed či večeru v reštaurácii Ring a </w:t>
      </w:r>
      <w:r w:rsidRPr="00B96B44">
        <w:rPr>
          <w:b/>
          <w:i/>
        </w:rPr>
        <w:t>Hoteli Ring***</w:t>
      </w:r>
      <w:r w:rsidRPr="00B96B44">
        <w:rPr>
          <w:i/>
        </w:rPr>
        <w:t>, ktorý ponúka komfortné ubytovanie.</w:t>
      </w:r>
      <w:r w:rsidR="00380F63">
        <w:rPr>
          <w:i/>
        </w:rPr>
        <w:t xml:space="preserve"> Poslednou akvizíciou v areáli je špičkové </w:t>
      </w:r>
      <w:r w:rsidR="00380F63" w:rsidRPr="005D350C">
        <w:rPr>
          <w:b/>
          <w:bCs/>
          <w:i/>
        </w:rPr>
        <w:t>Slovenské motokárové centrum</w:t>
      </w:r>
      <w:r w:rsidR="00380F63">
        <w:rPr>
          <w:i/>
        </w:rPr>
        <w:t xml:space="preserve"> a jeho vonkajšia dráha dlhá 1170m. To ponúka bezkonkurenčný priestor pre aktívne jazdy na motokárach pre deti, dospelých ale aj majiteľov vlastných motokár. Centrum a dráha je ako jediná na Slovensku homologizovaná licenciou CIK-FIA.</w:t>
      </w:r>
    </w:p>
    <w:p w14:paraId="44FDBB15" w14:textId="1979D9FA" w:rsidR="00F86409" w:rsidRPr="00B96B44" w:rsidRDefault="00F86409">
      <w:pPr>
        <w:spacing w:before="280" w:after="0" w:line="240" w:lineRule="auto"/>
        <w:rPr>
          <w:b/>
        </w:rPr>
      </w:pPr>
      <w:r w:rsidRPr="00B96B44">
        <w:rPr>
          <w:b/>
        </w:rPr>
        <w:t>GENERÁLNYM REKLAMNÝM PARTNEROM OKUHU JE OMV SLOVENSKO.</w:t>
      </w:r>
    </w:p>
    <w:p w14:paraId="4DFFADA2" w14:textId="54FEEC85" w:rsidR="001260EA" w:rsidRPr="00B96B44" w:rsidRDefault="00973AC2">
      <w:pPr>
        <w:spacing w:before="280" w:after="0" w:line="240" w:lineRule="auto"/>
        <w:rPr>
          <w:b/>
        </w:rPr>
      </w:pPr>
      <w:r w:rsidRPr="00B96B44">
        <w:rPr>
          <w:b/>
        </w:rPr>
        <w:t>Ďalšie informácie:</w:t>
      </w:r>
    </w:p>
    <w:tbl>
      <w:tblPr>
        <w:tblW w:w="907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1260EA" w:rsidRPr="00B96B44" w14:paraId="443428BD" w14:textId="77777777">
        <w:tc>
          <w:tcPr>
            <w:tcW w:w="4536" w:type="dxa"/>
            <w:shd w:val="clear" w:color="auto" w:fill="auto"/>
          </w:tcPr>
          <w:p w14:paraId="64B4FE8F" w14:textId="47BA796E" w:rsidR="001260EA" w:rsidRPr="00B96B44" w:rsidRDefault="005D350C">
            <w:pPr>
              <w:pStyle w:val="Zkladntext"/>
            </w:pPr>
            <w:r>
              <w:t xml:space="preserve">Ing. </w:t>
            </w:r>
            <w:r w:rsidR="00973AC2" w:rsidRPr="00B96B44">
              <w:t>Peter Pecze</w:t>
            </w:r>
            <w:r w:rsidR="00973AC2" w:rsidRPr="00B96B44">
              <w:br/>
              <w:t>Marketing Director, SLOVAKIA RING</w:t>
            </w:r>
            <w:r w:rsidR="00973AC2" w:rsidRPr="00B96B44">
              <w:br/>
              <w:t>mobil: +421 911 423 134</w:t>
            </w:r>
            <w:r w:rsidR="00973AC2" w:rsidRPr="00B96B44"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0E96A492" w14:textId="1CF1AD1B" w:rsidR="001260EA" w:rsidRPr="00B96B44" w:rsidRDefault="001260EA">
            <w:pPr>
              <w:pStyle w:val="Zkladntext"/>
            </w:pPr>
          </w:p>
        </w:tc>
      </w:tr>
    </w:tbl>
    <w:p w14:paraId="200BC13D" w14:textId="77777777" w:rsidR="001260EA" w:rsidRPr="00B96B44" w:rsidRDefault="001260EA">
      <w:pPr>
        <w:jc w:val="both"/>
      </w:pPr>
    </w:p>
    <w:sectPr w:rsidR="001260EA" w:rsidRPr="00B96B44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38D9" w14:textId="77777777" w:rsidR="0096044D" w:rsidRDefault="0096044D">
      <w:pPr>
        <w:spacing w:after="0" w:line="240" w:lineRule="auto"/>
      </w:pPr>
      <w:r>
        <w:separator/>
      </w:r>
    </w:p>
  </w:endnote>
  <w:endnote w:type="continuationSeparator" w:id="0">
    <w:p w14:paraId="5A340D4A" w14:textId="77777777" w:rsidR="0096044D" w:rsidRDefault="0096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70571" w14:textId="77777777" w:rsidR="0096044D" w:rsidRDefault="0096044D">
      <w:pPr>
        <w:spacing w:after="0" w:line="240" w:lineRule="auto"/>
      </w:pPr>
      <w:r>
        <w:separator/>
      </w:r>
    </w:p>
  </w:footnote>
  <w:footnote w:type="continuationSeparator" w:id="0">
    <w:p w14:paraId="3D07FE4E" w14:textId="77777777" w:rsidR="0096044D" w:rsidRDefault="00960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C0027" w14:textId="77777777" w:rsidR="001260EA" w:rsidRDefault="00973AC2">
    <w:pPr>
      <w:pStyle w:val="Hlavika"/>
    </w:pPr>
    <w:r>
      <w:rPr>
        <w:noProof/>
        <w:lang w:eastAsia="sk-SK"/>
      </w:rPr>
      <w:drawing>
        <wp:inline distT="0" distB="0" distL="0" distR="0" wp14:anchorId="61B38786" wp14:editId="3F630834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E9B4E" w14:textId="77777777" w:rsidR="001260EA" w:rsidRDefault="001260EA">
    <w:pPr>
      <w:pStyle w:val="Hlavika"/>
    </w:pPr>
  </w:p>
  <w:p w14:paraId="08C8CF96" w14:textId="77777777" w:rsidR="001260EA" w:rsidRDefault="001260E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0EA"/>
    <w:rsid w:val="000025FD"/>
    <w:rsid w:val="001260EA"/>
    <w:rsid w:val="00160D53"/>
    <w:rsid w:val="002F38DA"/>
    <w:rsid w:val="00321E8D"/>
    <w:rsid w:val="00380F63"/>
    <w:rsid w:val="003842EC"/>
    <w:rsid w:val="0053528C"/>
    <w:rsid w:val="005D350C"/>
    <w:rsid w:val="00600425"/>
    <w:rsid w:val="00633B72"/>
    <w:rsid w:val="006A3405"/>
    <w:rsid w:val="0083501E"/>
    <w:rsid w:val="008A58E7"/>
    <w:rsid w:val="008E0E39"/>
    <w:rsid w:val="00944E2C"/>
    <w:rsid w:val="0096044D"/>
    <w:rsid w:val="00963E95"/>
    <w:rsid w:val="00973AC2"/>
    <w:rsid w:val="009C161E"/>
    <w:rsid w:val="009F2AE9"/>
    <w:rsid w:val="00AA1E03"/>
    <w:rsid w:val="00B96B44"/>
    <w:rsid w:val="00C02EBC"/>
    <w:rsid w:val="00CA0BA8"/>
    <w:rsid w:val="00DA6FCB"/>
    <w:rsid w:val="00DF1932"/>
    <w:rsid w:val="00DF4F7D"/>
    <w:rsid w:val="00E31112"/>
    <w:rsid w:val="00EB3DFD"/>
    <w:rsid w:val="00F506F7"/>
    <w:rsid w:val="00F64BE7"/>
    <w:rsid w:val="00F86409"/>
    <w:rsid w:val="00F9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5B9DE"/>
  <w15:docId w15:val="{D5560C0B-248A-4122-97D5-5CBFF03C5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InternetLink">
    <w:name w:val="Internet Link"/>
    <w:basedOn w:val="Predvolenpsmoodseku"/>
    <w:uiPriority w:val="99"/>
    <w:unhideWhenUsed/>
    <w:rsid w:val="008D72DA"/>
    <w:rPr>
      <w:color w:val="0563C1" w:themeColor="hyperlink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Silnzvraznenie">
    <w:name w:val="Silné zvýraznenie"/>
    <w:qFormat/>
    <w:rPr>
      <w:b/>
      <w:bCs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14">
    <w:name w:val="ListLabel 14"/>
    <w:qFormat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B96B4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96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ovakiaring.sk/sk/detska-akademi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Hrivnakova</cp:lastModifiedBy>
  <cp:revision>9</cp:revision>
  <dcterms:created xsi:type="dcterms:W3CDTF">2021-06-22T09:34:00Z</dcterms:created>
  <dcterms:modified xsi:type="dcterms:W3CDTF">2021-06-22T13:25:00Z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