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8B75" w14:textId="56CD2713" w:rsidR="007E0F6E" w:rsidRPr="00CB7C98" w:rsidRDefault="00CB7C98" w:rsidP="00CB7C98">
      <w:pPr>
        <w:jc w:val="center"/>
        <w:rPr>
          <w:b/>
          <w:bCs/>
        </w:rPr>
      </w:pPr>
      <w:r w:rsidRPr="00147D8E">
        <w:rPr>
          <w:b/>
          <w:bCs/>
          <w:sz w:val="32"/>
          <w:szCs w:val="32"/>
        </w:rPr>
        <w:t>Burácajúce ťahače opäť na Slovensku: SLOVAKIA RING privíta druhé kolo Majstrovstiev Európy FIA ETRC</w:t>
      </w:r>
      <w:r>
        <w:rPr>
          <w:b/>
          <w:bCs/>
          <w:sz w:val="32"/>
          <w:szCs w:val="32"/>
        </w:rPr>
        <w:br/>
      </w:r>
    </w:p>
    <w:p w14:paraId="3457D215" w14:textId="5B354DD1" w:rsidR="007E0F6E" w:rsidRPr="00CB7C98" w:rsidRDefault="007E0F6E" w:rsidP="007E0F6E">
      <w:r>
        <w:rPr>
          <w:b/>
          <w:bCs/>
        </w:rPr>
        <w:t xml:space="preserve">Orechová Potôň, </w:t>
      </w:r>
      <w:r w:rsidR="00CB7C98">
        <w:rPr>
          <w:b/>
          <w:bCs/>
        </w:rPr>
        <w:t>1</w:t>
      </w:r>
      <w:r>
        <w:rPr>
          <w:b/>
          <w:bCs/>
        </w:rPr>
        <w:t>.</w:t>
      </w:r>
      <w:r w:rsidR="00CB7C98">
        <w:rPr>
          <w:b/>
          <w:bCs/>
        </w:rPr>
        <w:t xml:space="preserve">jún </w:t>
      </w:r>
      <w:r>
        <w:rPr>
          <w:b/>
          <w:bCs/>
        </w:rPr>
        <w:t xml:space="preserve">2026 - </w:t>
      </w:r>
      <w:r w:rsidR="00CB7C98" w:rsidRPr="00CB7C98">
        <w:rPr>
          <w:b/>
          <w:bCs/>
        </w:rPr>
        <w:t xml:space="preserve">Už počas víkendu 6. a 7. júna sa na SLOVAKIA RING vracia jeden z najatraktívnejších motoristických šampionátov v Európe – </w:t>
      </w:r>
      <w:proofErr w:type="spellStart"/>
      <w:r w:rsidR="00CB7C98" w:rsidRPr="00CB7C98">
        <w:rPr>
          <w:b/>
          <w:bCs/>
        </w:rPr>
        <w:t>Goodyear</w:t>
      </w:r>
      <w:proofErr w:type="spellEnd"/>
      <w:r w:rsidR="00CB7C98" w:rsidRPr="00CB7C98">
        <w:rPr>
          <w:b/>
          <w:bCs/>
        </w:rPr>
        <w:t xml:space="preserve"> FIA </w:t>
      </w:r>
      <w:proofErr w:type="spellStart"/>
      <w:r w:rsidR="00CB7C98" w:rsidRPr="00CB7C98">
        <w:rPr>
          <w:b/>
          <w:bCs/>
        </w:rPr>
        <w:t>European</w:t>
      </w:r>
      <w:proofErr w:type="spellEnd"/>
      <w:r w:rsidR="00CB7C98" w:rsidRPr="00CB7C98">
        <w:rPr>
          <w:b/>
          <w:bCs/>
        </w:rPr>
        <w:t xml:space="preserve"> Truck </w:t>
      </w:r>
      <w:proofErr w:type="spellStart"/>
      <w:r w:rsidR="00CB7C98" w:rsidRPr="00CB7C98">
        <w:rPr>
          <w:b/>
          <w:bCs/>
        </w:rPr>
        <w:t>Racing</w:t>
      </w:r>
      <w:proofErr w:type="spellEnd"/>
      <w:r w:rsidR="00CB7C98" w:rsidRPr="00CB7C98">
        <w:rPr>
          <w:b/>
          <w:bCs/>
        </w:rPr>
        <w:t xml:space="preserve"> </w:t>
      </w:r>
      <w:proofErr w:type="spellStart"/>
      <w:r w:rsidR="00CB7C98" w:rsidRPr="00CB7C98">
        <w:rPr>
          <w:b/>
          <w:bCs/>
        </w:rPr>
        <w:t>Championship</w:t>
      </w:r>
      <w:proofErr w:type="spellEnd"/>
      <w:r w:rsidR="00CB7C98" w:rsidRPr="00CB7C98">
        <w:rPr>
          <w:b/>
          <w:bCs/>
        </w:rPr>
        <w:t xml:space="preserve"> (FIA ETRC). Druhé podujatie sezóny 2026 prinesie na slovenský okruh súboje viac než päťtonových pretekárskych ťahačov, ktoré každoročne fascinujú fanúšikov kombináciou výkonu, tesných súbojov a jedinečnej atmosféry. Okrem európskej špičky v pretekoch </w:t>
      </w:r>
      <w:proofErr w:type="spellStart"/>
      <w:r w:rsidR="00CB7C98" w:rsidRPr="00CB7C98">
        <w:rPr>
          <w:b/>
          <w:bCs/>
        </w:rPr>
        <w:t>truckov</w:t>
      </w:r>
      <w:proofErr w:type="spellEnd"/>
      <w:r w:rsidR="00CB7C98" w:rsidRPr="00CB7C98">
        <w:rPr>
          <w:b/>
          <w:bCs/>
        </w:rPr>
        <w:t xml:space="preserve"> čaká návštevníkov aj bohatý program ďalších seriálov a množstvo atrakcií pre celú rodinu.</w:t>
      </w:r>
      <w:r w:rsidR="00CB7C98">
        <w:br/>
      </w:r>
    </w:p>
    <w:p w14:paraId="056BA5D2" w14:textId="77777777" w:rsidR="00CB7C98" w:rsidRPr="00147D8E" w:rsidRDefault="00CB7C98" w:rsidP="00CB7C98">
      <w:pPr>
        <w:rPr>
          <w:b/>
          <w:bCs/>
        </w:rPr>
      </w:pPr>
      <w:r w:rsidRPr="00147D8E">
        <w:rPr>
          <w:b/>
          <w:bCs/>
        </w:rPr>
        <w:t>Európska elita medzi pretekárskymi ťahačmi</w:t>
      </w:r>
    </w:p>
    <w:p w14:paraId="0DC51606" w14:textId="77777777" w:rsidR="00CB7C98" w:rsidRPr="00147D8E" w:rsidRDefault="00CB7C98" w:rsidP="00CB7C98">
      <w:proofErr w:type="spellStart"/>
      <w:r w:rsidRPr="00147D8E">
        <w:t>Goodyear</w:t>
      </w:r>
      <w:proofErr w:type="spellEnd"/>
      <w:r w:rsidRPr="00147D8E">
        <w:t xml:space="preserve"> FIA ETRC je najvyššia európska súťaž pre pretekárske ťahače a patrí medzi najunikátnejšie disciplíny svetového </w:t>
      </w:r>
      <w:proofErr w:type="spellStart"/>
      <w:r w:rsidRPr="00147D8E">
        <w:t>motoršportu</w:t>
      </w:r>
      <w:proofErr w:type="spellEnd"/>
      <w:r w:rsidRPr="00147D8E">
        <w:t xml:space="preserve">. Na štartovom rošte sa pravidelne predstavujú továrenské aj súkromné tímy s pretekárskymi špeciálmi značiek MAN, IVECO, </w:t>
      </w:r>
      <w:proofErr w:type="spellStart"/>
      <w:r w:rsidRPr="00147D8E">
        <w:t>Freightliner</w:t>
      </w:r>
      <w:proofErr w:type="spellEnd"/>
      <w:r w:rsidRPr="00147D8E">
        <w:t xml:space="preserve"> či Renault. Viac než päťtonové stroje disponujú výkonom presahujúcim 1 000 koní, pričom ich maximálna rýchlosť je z bezpečnostných dôvodov limitovaná na 160 km/h. Práve vyrovnané výkony a kontaktné súboje „nárazník na nárazník“ robia z FIA ETRC jeden z divácky najatraktívnejších seriálov </w:t>
      </w:r>
      <w:proofErr w:type="spellStart"/>
      <w:r w:rsidRPr="00147D8E">
        <w:t>motoršportu</w:t>
      </w:r>
      <w:proofErr w:type="spellEnd"/>
      <w:r w:rsidRPr="00147D8E">
        <w:t>.</w:t>
      </w:r>
    </w:p>
    <w:p w14:paraId="5CEAA883" w14:textId="2D5C233F" w:rsidR="00CB7C98" w:rsidRPr="00147D8E" w:rsidRDefault="00CB7C98" w:rsidP="00CB7C98">
      <w:r w:rsidRPr="00147D8E">
        <w:t>V sezóne 2026 bojuje o európsky titul sedem tímov a viac ako desať popredných jazdcov. Súčasťou šampionátu je aj kategória Chrome pre jazdcov a tímy bez továrenskej podpory.</w:t>
      </w:r>
      <w:r>
        <w:br/>
      </w:r>
    </w:p>
    <w:p w14:paraId="314F9C9B" w14:textId="77777777" w:rsidR="00CB7C98" w:rsidRPr="00147D8E" w:rsidRDefault="00CB7C98" w:rsidP="00CB7C98">
      <w:pPr>
        <w:rPr>
          <w:b/>
          <w:bCs/>
        </w:rPr>
      </w:pPr>
      <w:r w:rsidRPr="00147D8E">
        <w:rPr>
          <w:b/>
          <w:bCs/>
        </w:rPr>
        <w:t xml:space="preserve">Kiss vedie šampionát, </w:t>
      </w:r>
      <w:proofErr w:type="spellStart"/>
      <w:r w:rsidRPr="00147D8E">
        <w:rPr>
          <w:b/>
          <w:bCs/>
        </w:rPr>
        <w:t>Hahn</w:t>
      </w:r>
      <w:proofErr w:type="spellEnd"/>
      <w:r w:rsidRPr="00147D8E">
        <w:rPr>
          <w:b/>
          <w:bCs/>
        </w:rPr>
        <w:t xml:space="preserve"> mu dýcha na chrbát</w:t>
      </w:r>
    </w:p>
    <w:p w14:paraId="5637B92E" w14:textId="77777777" w:rsidR="00CB7C98" w:rsidRPr="00147D8E" w:rsidRDefault="00CB7C98" w:rsidP="00CB7C98">
      <w:r w:rsidRPr="00147D8E">
        <w:t>Druhé kolo sezóny na SLOVAKIA RINGU prichádza len týždeň po úvodnom podujatí v</w:t>
      </w:r>
      <w:r>
        <w:t> </w:t>
      </w:r>
      <w:r w:rsidRPr="00147D8E">
        <w:t>taliansk</w:t>
      </w:r>
      <w:r>
        <w:t xml:space="preserve">om </w:t>
      </w:r>
      <w:proofErr w:type="spellStart"/>
      <w:r w:rsidRPr="00147D8E">
        <w:t>Misane</w:t>
      </w:r>
      <w:proofErr w:type="spellEnd"/>
      <w:r w:rsidRPr="00147D8E">
        <w:t>. Priebežné poradie po prvom zo siedmich podujatí naznačuje mimoriadne vyrovnaný boj o titul.</w:t>
      </w:r>
    </w:p>
    <w:p w14:paraId="32C7EF81" w14:textId="77777777" w:rsidR="00CB7C98" w:rsidRPr="00147D8E" w:rsidRDefault="00CB7C98" w:rsidP="00CB7C98">
      <w:r w:rsidRPr="00147D8E">
        <w:t>Na čele šampionátu je úradujúci majster Európy Norbert Kiss (</w:t>
      </w:r>
      <w:proofErr w:type="spellStart"/>
      <w:r w:rsidRPr="00147D8E">
        <w:t>Révész</w:t>
      </w:r>
      <w:proofErr w:type="spellEnd"/>
      <w:r w:rsidRPr="00147D8E">
        <w:t xml:space="preserve"> </w:t>
      </w:r>
      <w:proofErr w:type="spellStart"/>
      <w:r w:rsidRPr="00147D8E">
        <w:t>Racing</w:t>
      </w:r>
      <w:proofErr w:type="spellEnd"/>
      <w:r w:rsidRPr="00147D8E">
        <w:t xml:space="preserve"> – MAN) so ziskom 46 bodov. Len štyri body za ním nasleduje skúsený </w:t>
      </w:r>
      <w:proofErr w:type="spellStart"/>
      <w:r w:rsidRPr="00147D8E">
        <w:t>Jochen</w:t>
      </w:r>
      <w:proofErr w:type="spellEnd"/>
      <w:r w:rsidRPr="00147D8E">
        <w:t xml:space="preserve"> </w:t>
      </w:r>
      <w:proofErr w:type="spellStart"/>
      <w:r w:rsidRPr="00147D8E">
        <w:t>Hahn</w:t>
      </w:r>
      <w:proofErr w:type="spellEnd"/>
      <w:r w:rsidRPr="00147D8E">
        <w:t xml:space="preserve"> (42 bodov), tretí je </w:t>
      </w:r>
      <w:proofErr w:type="spellStart"/>
      <w:r w:rsidRPr="00147D8E">
        <w:t>Sascha</w:t>
      </w:r>
      <w:proofErr w:type="spellEnd"/>
      <w:r w:rsidRPr="00147D8E">
        <w:t xml:space="preserve"> </w:t>
      </w:r>
      <w:proofErr w:type="spellStart"/>
      <w:r w:rsidRPr="00147D8E">
        <w:t>Lenz</w:t>
      </w:r>
      <w:proofErr w:type="spellEnd"/>
      <w:r w:rsidRPr="00147D8E">
        <w:t xml:space="preserve"> (37 bodov). Do prvej päťky sa po úvodnom víkende zaradili aj Lukas </w:t>
      </w:r>
      <w:proofErr w:type="spellStart"/>
      <w:r w:rsidRPr="00147D8E">
        <w:t>Hahn</w:t>
      </w:r>
      <w:proofErr w:type="spellEnd"/>
      <w:r w:rsidRPr="00147D8E">
        <w:t xml:space="preserve"> (34 bodov) a Antonio </w:t>
      </w:r>
      <w:proofErr w:type="spellStart"/>
      <w:r w:rsidRPr="00147D8E">
        <w:t>Albacete</w:t>
      </w:r>
      <w:proofErr w:type="spellEnd"/>
      <w:r w:rsidRPr="00147D8E">
        <w:t xml:space="preserve"> (30 bodov).</w:t>
      </w:r>
    </w:p>
    <w:p w14:paraId="3B3C00E1" w14:textId="42C0E4E1" w:rsidR="00CB7C98" w:rsidRPr="00147D8E" w:rsidRDefault="00CB7C98" w:rsidP="00CB7C98">
      <w:r w:rsidRPr="00147D8E">
        <w:t xml:space="preserve">V hodnotení Chrome kategórie vedie Lukas </w:t>
      </w:r>
      <w:proofErr w:type="spellStart"/>
      <w:r w:rsidRPr="00147D8E">
        <w:t>Hahn</w:t>
      </w:r>
      <w:proofErr w:type="spellEnd"/>
      <w:r w:rsidRPr="00147D8E">
        <w:t xml:space="preserve"> pred Johnom </w:t>
      </w:r>
      <w:proofErr w:type="spellStart"/>
      <w:r w:rsidRPr="00147D8E">
        <w:t>Newellom</w:t>
      </w:r>
      <w:proofErr w:type="spellEnd"/>
      <w:r w:rsidRPr="00147D8E">
        <w:t xml:space="preserve"> a </w:t>
      </w:r>
      <w:proofErr w:type="spellStart"/>
      <w:r w:rsidRPr="00147D8E">
        <w:t>Stefanom</w:t>
      </w:r>
      <w:proofErr w:type="spellEnd"/>
      <w:r w:rsidRPr="00147D8E">
        <w:t xml:space="preserve"> </w:t>
      </w:r>
      <w:proofErr w:type="spellStart"/>
      <w:r w:rsidRPr="00147D8E">
        <w:t>Kurschom</w:t>
      </w:r>
      <w:proofErr w:type="spellEnd"/>
      <w:r w:rsidRPr="00147D8E">
        <w:t>.</w:t>
      </w:r>
      <w:r>
        <w:br/>
      </w:r>
    </w:p>
    <w:p w14:paraId="07FA897D" w14:textId="77777777" w:rsidR="00CB7C98" w:rsidRPr="00147D8E" w:rsidRDefault="00CB7C98" w:rsidP="00CB7C98">
      <w:pPr>
        <w:rPr>
          <w:b/>
          <w:bCs/>
        </w:rPr>
      </w:pPr>
      <w:proofErr w:type="spellStart"/>
      <w:r w:rsidRPr="00147D8E">
        <w:rPr>
          <w:b/>
          <w:bCs/>
        </w:rPr>
        <w:t>Misano</w:t>
      </w:r>
      <w:proofErr w:type="spellEnd"/>
      <w:r w:rsidRPr="00147D8E">
        <w:rPr>
          <w:b/>
          <w:bCs/>
        </w:rPr>
        <w:t xml:space="preserve">: tri víťazstvá pre Kissa, prvý triumf </w:t>
      </w:r>
      <w:proofErr w:type="spellStart"/>
      <w:r w:rsidRPr="00147D8E">
        <w:rPr>
          <w:b/>
          <w:bCs/>
        </w:rPr>
        <w:t>Hahna</w:t>
      </w:r>
      <w:proofErr w:type="spellEnd"/>
    </w:p>
    <w:p w14:paraId="31793A68" w14:textId="77777777" w:rsidR="00CB7C98" w:rsidRPr="00147D8E" w:rsidRDefault="00CB7C98" w:rsidP="00CB7C98">
      <w:r w:rsidRPr="00147D8E">
        <w:t xml:space="preserve">Úvodné podujatie sezóny v </w:t>
      </w:r>
      <w:proofErr w:type="spellStart"/>
      <w:r w:rsidRPr="00147D8E">
        <w:t>Misane</w:t>
      </w:r>
      <w:proofErr w:type="spellEnd"/>
      <w:r w:rsidRPr="00147D8E">
        <w:t xml:space="preserve"> patrilo predovšetkým Norbertovi Kissovi. Maďarský jazdec vyhral tri zo štyroch pretekov víkendu a odštartoval obhajobu titulu vo veľkom štýle.</w:t>
      </w:r>
    </w:p>
    <w:p w14:paraId="12C271E3" w14:textId="77777777" w:rsidR="00CB7C98" w:rsidRPr="00147D8E" w:rsidRDefault="00CB7C98" w:rsidP="00CB7C98">
      <w:r w:rsidRPr="00147D8E">
        <w:t xml:space="preserve">Jediné víťazstvo, ktoré Kissovi uniklo, získal v tretej jazde </w:t>
      </w:r>
      <w:proofErr w:type="spellStart"/>
      <w:r w:rsidRPr="00147D8E">
        <w:t>Jochen</w:t>
      </w:r>
      <w:proofErr w:type="spellEnd"/>
      <w:r w:rsidRPr="00147D8E">
        <w:t xml:space="preserve"> </w:t>
      </w:r>
      <w:proofErr w:type="spellStart"/>
      <w:r w:rsidRPr="00147D8E">
        <w:t>Hahn</w:t>
      </w:r>
      <w:proofErr w:type="spellEnd"/>
      <w:r w:rsidRPr="00147D8E">
        <w:t xml:space="preserve">. Po kontakte oboch favoritov skončil Kiss až na šiestej priečke, zatiaľ čo </w:t>
      </w:r>
      <w:proofErr w:type="spellStart"/>
      <w:r w:rsidRPr="00147D8E">
        <w:t>Hahn</w:t>
      </w:r>
      <w:proofErr w:type="spellEnd"/>
      <w:r w:rsidRPr="00147D8E">
        <w:t xml:space="preserve"> triumfoval pred svojím synom </w:t>
      </w:r>
      <w:proofErr w:type="spellStart"/>
      <w:r w:rsidRPr="00147D8E">
        <w:t>Lukasom</w:t>
      </w:r>
      <w:proofErr w:type="spellEnd"/>
      <w:r w:rsidRPr="00147D8E">
        <w:t xml:space="preserve">. Antonio </w:t>
      </w:r>
      <w:proofErr w:type="spellStart"/>
      <w:r w:rsidRPr="00147D8E">
        <w:t>Albacete</w:t>
      </w:r>
      <w:proofErr w:type="spellEnd"/>
      <w:r w:rsidRPr="00147D8E">
        <w:t xml:space="preserve"> doplnil pódium. Kiss si však napravil chuť v záverečnej štvrtej jazde, keď po skvelom štarte prevzal vedenie už v prvom kole a bez problémov si prišiel po tretie víťazstvo víkendu.</w:t>
      </w:r>
    </w:p>
    <w:p w14:paraId="4897DD97" w14:textId="7D196007" w:rsidR="00CB7C98" w:rsidRPr="00147D8E" w:rsidRDefault="00CB7C98" w:rsidP="00CB7C98">
      <w:r w:rsidRPr="00147D8E">
        <w:lastRenderedPageBreak/>
        <w:t xml:space="preserve">Historickým momentom bolo aj prvé nasadenie nových pneumatík </w:t>
      </w:r>
      <w:proofErr w:type="spellStart"/>
      <w:r w:rsidRPr="00147D8E">
        <w:t>Goodyear</w:t>
      </w:r>
      <w:proofErr w:type="spellEnd"/>
      <w:r w:rsidRPr="00147D8E">
        <w:t xml:space="preserve"> vyrobených zo 60 % z udržateľných materiálov. Kiss zároveň získal premiérové ocenenie </w:t>
      </w:r>
      <w:proofErr w:type="spellStart"/>
      <w:r w:rsidRPr="00147D8E">
        <w:t>Wingfoot</w:t>
      </w:r>
      <w:proofErr w:type="spellEnd"/>
      <w:r w:rsidRPr="00147D8E">
        <w:t xml:space="preserve"> </w:t>
      </w:r>
      <w:proofErr w:type="spellStart"/>
      <w:r w:rsidRPr="00147D8E">
        <w:t>Award</w:t>
      </w:r>
      <w:proofErr w:type="spellEnd"/>
      <w:r w:rsidRPr="00147D8E">
        <w:t>, o ktorom rozhodovali fanúšikovia.</w:t>
      </w:r>
      <w:r>
        <w:br/>
      </w:r>
    </w:p>
    <w:p w14:paraId="051CD8AE" w14:textId="77777777" w:rsidR="00CB7C98" w:rsidRPr="00147D8E" w:rsidRDefault="00CB7C98" w:rsidP="00CB7C98">
      <w:pPr>
        <w:rPr>
          <w:b/>
          <w:bCs/>
        </w:rPr>
      </w:pPr>
      <w:r w:rsidRPr="00147D8E">
        <w:rPr>
          <w:b/>
          <w:bCs/>
        </w:rPr>
        <w:t xml:space="preserve">Na SLOVAKIA RINGU nebude chýbať ani GT Cup </w:t>
      </w:r>
      <w:proofErr w:type="spellStart"/>
      <w:r w:rsidRPr="00147D8E">
        <w:rPr>
          <w:b/>
          <w:bCs/>
        </w:rPr>
        <w:t>Series</w:t>
      </w:r>
      <w:proofErr w:type="spellEnd"/>
      <w:r w:rsidRPr="00147D8E">
        <w:rPr>
          <w:b/>
          <w:bCs/>
        </w:rPr>
        <w:t>, F4 či vytrvalostné TCR</w:t>
      </w:r>
    </w:p>
    <w:p w14:paraId="3EB13120" w14:textId="77777777" w:rsidR="00CB7C98" w:rsidRPr="00147D8E" w:rsidRDefault="00CB7C98" w:rsidP="00CB7C98">
      <w:r>
        <w:t>Preteky ťahačov</w:t>
      </w:r>
      <w:r w:rsidRPr="00147D8E">
        <w:t xml:space="preserve"> nebud</w:t>
      </w:r>
      <w:r>
        <w:t>ú</w:t>
      </w:r>
      <w:r w:rsidRPr="00147D8E">
        <w:t xml:space="preserve"> jedinou atrakciou víkendu. Organizátori pripravili nabitý program ďalších populárnych seriálov.</w:t>
      </w:r>
    </w:p>
    <w:p w14:paraId="2EB66F05" w14:textId="77777777" w:rsidR="00CB7C98" w:rsidRPr="00147D8E" w:rsidRDefault="00CB7C98" w:rsidP="00CB7C98">
      <w:r w:rsidRPr="00147D8E">
        <w:t xml:space="preserve">Fanúšikovia sa môžu tešiť na GT Cup </w:t>
      </w:r>
      <w:proofErr w:type="spellStart"/>
      <w:r w:rsidRPr="00147D8E">
        <w:t>Series</w:t>
      </w:r>
      <w:proofErr w:type="spellEnd"/>
      <w:r w:rsidRPr="00147D8E">
        <w:t xml:space="preserve"> s vozidlami kategórie GT vrátane značiek Porsche, </w:t>
      </w:r>
      <w:proofErr w:type="spellStart"/>
      <w:r w:rsidRPr="00147D8E">
        <w:t>Lamborghini</w:t>
      </w:r>
      <w:proofErr w:type="spellEnd"/>
      <w:r w:rsidRPr="00147D8E">
        <w:t xml:space="preserve"> či Mercedes. Súčasťou programu budú aj preteky FIA CEZ F4, ktoré predstavujú vstupnú bránu pre budúce hviezdy </w:t>
      </w:r>
      <w:proofErr w:type="spellStart"/>
      <w:r w:rsidRPr="00147D8E">
        <w:t>formulového</w:t>
      </w:r>
      <w:proofErr w:type="spellEnd"/>
      <w:r w:rsidRPr="00147D8E">
        <w:t xml:space="preserve"> športu.</w:t>
      </w:r>
    </w:p>
    <w:p w14:paraId="27CDD6DA" w14:textId="5185FA02" w:rsidR="00CB7C98" w:rsidRPr="00147D8E" w:rsidRDefault="00CB7C98" w:rsidP="00CB7C98">
      <w:r w:rsidRPr="00147D8E">
        <w:t xml:space="preserve">Program doplní aj TCR </w:t>
      </w:r>
      <w:proofErr w:type="spellStart"/>
      <w:r w:rsidRPr="00147D8E">
        <w:t>European</w:t>
      </w:r>
      <w:proofErr w:type="spellEnd"/>
      <w:r w:rsidRPr="00147D8E">
        <w:t xml:space="preserve"> </w:t>
      </w:r>
      <w:proofErr w:type="spellStart"/>
      <w:r w:rsidRPr="00147D8E">
        <w:t>Endurance</w:t>
      </w:r>
      <w:proofErr w:type="spellEnd"/>
      <w:r w:rsidRPr="00147D8E">
        <w:t xml:space="preserve"> – vytrvalostný seriál cestovných vozidiel kategórie TCR, ktorý prinesie hodinové preteky s medzinárodnou účasťou.</w:t>
      </w:r>
      <w:r>
        <w:br/>
      </w:r>
    </w:p>
    <w:p w14:paraId="1EB84057" w14:textId="77777777" w:rsidR="00CB7C98" w:rsidRPr="00147D8E" w:rsidRDefault="00CB7C98" w:rsidP="00CB7C98">
      <w:pPr>
        <w:rPr>
          <w:b/>
          <w:bCs/>
        </w:rPr>
      </w:pPr>
      <w:r w:rsidRPr="00147D8E">
        <w:rPr>
          <w:b/>
          <w:bCs/>
        </w:rPr>
        <w:t xml:space="preserve">Rodinný festival </w:t>
      </w:r>
      <w:proofErr w:type="spellStart"/>
      <w:r w:rsidRPr="00147D8E">
        <w:rPr>
          <w:b/>
          <w:bCs/>
        </w:rPr>
        <w:t>motoršportu</w:t>
      </w:r>
      <w:proofErr w:type="spellEnd"/>
    </w:p>
    <w:p w14:paraId="1D890699" w14:textId="77777777" w:rsidR="00CB7C98" w:rsidRPr="00147D8E" w:rsidRDefault="00CB7C98" w:rsidP="00CB7C98">
      <w:r w:rsidRPr="00147D8E">
        <w:t xml:space="preserve">Podujatie na SLOVAKIA RINGU už dávno nie je iba o pretekoch. Návštevníci budú mať počas celého víkendu prístup do </w:t>
      </w:r>
      <w:proofErr w:type="spellStart"/>
      <w:r w:rsidRPr="00147D8E">
        <w:t>paddocku</w:t>
      </w:r>
      <w:proofErr w:type="spellEnd"/>
      <w:r w:rsidRPr="00147D8E">
        <w:t>, kde môžu sledovať prácu tímov z bezprostrednej blízkosti a stretnúť sa s jazdcami počas autogramiád.</w:t>
      </w:r>
    </w:p>
    <w:p w14:paraId="2CCEEFE1" w14:textId="77777777" w:rsidR="00CB7C98" w:rsidRPr="00147D8E" w:rsidRDefault="00CB7C98" w:rsidP="00CB7C98">
      <w:r w:rsidRPr="00147D8E">
        <w:t xml:space="preserve">Pripravený je aj bohatý sprievodný program vrátane detskej a OMV </w:t>
      </w:r>
      <w:proofErr w:type="spellStart"/>
      <w:r w:rsidRPr="00147D8E">
        <w:t>Kids</w:t>
      </w:r>
      <w:proofErr w:type="spellEnd"/>
      <w:r w:rsidRPr="00147D8E">
        <w:t xml:space="preserve"> zóny, verejných jázd na motokárach, zrazu veteránov a </w:t>
      </w:r>
      <w:proofErr w:type="spellStart"/>
      <w:r w:rsidRPr="00147D8E">
        <w:t>tuningových</w:t>
      </w:r>
      <w:proofErr w:type="spellEnd"/>
      <w:r w:rsidRPr="00147D8E">
        <w:t xml:space="preserve"> vozidiel, leteckej show, návštevy Vojenského múzea či najväčšieho súkromného zoologického parku na Slovensku – Malkia Parku. Súčasťou podujatia bude aj obľúbený </w:t>
      </w:r>
      <w:proofErr w:type="spellStart"/>
      <w:r w:rsidRPr="00147D8E">
        <w:t>Grid</w:t>
      </w:r>
      <w:proofErr w:type="spellEnd"/>
      <w:r w:rsidRPr="00147D8E">
        <w:t xml:space="preserve"> </w:t>
      </w:r>
      <w:proofErr w:type="spellStart"/>
      <w:r w:rsidRPr="00147D8E">
        <w:t>Walk</w:t>
      </w:r>
      <w:proofErr w:type="spellEnd"/>
      <w:r w:rsidRPr="00147D8E">
        <w:t xml:space="preserve">, ktorý umožní fanúšikom vstúpiť priamo na štartový rošt tesne pred pretekmi </w:t>
      </w:r>
      <w:proofErr w:type="spellStart"/>
      <w:r w:rsidRPr="00147D8E">
        <w:t>truckov</w:t>
      </w:r>
      <w:proofErr w:type="spellEnd"/>
      <w:r w:rsidRPr="00147D8E">
        <w:t>.</w:t>
      </w:r>
    </w:p>
    <w:p w14:paraId="19D54B7B" w14:textId="77777777" w:rsidR="00CB7C98" w:rsidRPr="00147D8E" w:rsidRDefault="00CB7C98" w:rsidP="00CB7C98">
      <w:r w:rsidRPr="00147D8E">
        <w:t xml:space="preserve">Spojenie burácajúcich ťahačov, špičkových okruhových sérií a rodinnej atmosféry robí z OMV </w:t>
      </w:r>
      <w:proofErr w:type="spellStart"/>
      <w:r w:rsidRPr="00147D8E">
        <w:t>MaxxMotion</w:t>
      </w:r>
      <w:proofErr w:type="spellEnd"/>
      <w:r w:rsidRPr="00147D8E">
        <w:t xml:space="preserve"> </w:t>
      </w:r>
      <w:proofErr w:type="spellStart"/>
      <w:r w:rsidRPr="00147D8E">
        <w:t>Goodyear</w:t>
      </w:r>
      <w:proofErr w:type="spellEnd"/>
      <w:r w:rsidRPr="00147D8E">
        <w:t xml:space="preserve"> FIA ETRC Truck Race of Slovakia jedno z najväčších motoristických podujatí roka na Slovensku.</w:t>
      </w:r>
    </w:p>
    <w:p w14:paraId="26BD5EC3" w14:textId="77777777" w:rsidR="00CB7C98" w:rsidRPr="00147D8E" w:rsidRDefault="00CB7C98" w:rsidP="00CB7C98">
      <w:r w:rsidRPr="00147D8E">
        <w:t xml:space="preserve">Viac informácií a vstupenky sú dostupné na stránke </w:t>
      </w:r>
      <w:hyperlink r:id="rId7" w:history="1">
        <w:r w:rsidRPr="00147D8E">
          <w:rPr>
            <w:rStyle w:val="Hypertextovprepojenie"/>
          </w:rPr>
          <w:t>SLOVAKIA RING</w:t>
        </w:r>
      </w:hyperlink>
      <w:r w:rsidRPr="00147D8E">
        <w:t>.</w:t>
      </w:r>
    </w:p>
    <w:p w14:paraId="64736C6B" w14:textId="5331B0C8" w:rsidR="001E2CD6" w:rsidRPr="001E2CD6" w:rsidRDefault="001E2CD6" w:rsidP="00ED2A03">
      <w:pPr>
        <w:rPr>
          <w:i/>
          <w:iCs/>
        </w:rPr>
      </w:pP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</w:t>
      </w:r>
      <w:r w:rsidRPr="00233D47">
        <w:rPr>
          <w:rFonts w:asciiTheme="minorHAnsi" w:hAnsiTheme="minorHAnsi" w:cstheme="minorHAnsi"/>
          <w:i/>
        </w:rPr>
        <w:lastRenderedPageBreak/>
        <w:t xml:space="preserve">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A648" w14:textId="77777777" w:rsidR="00736C46" w:rsidRDefault="00736C46">
      <w:pPr>
        <w:spacing w:after="0" w:line="240" w:lineRule="auto"/>
      </w:pPr>
      <w:r>
        <w:separator/>
      </w:r>
    </w:p>
  </w:endnote>
  <w:endnote w:type="continuationSeparator" w:id="0">
    <w:p w14:paraId="0E650C85" w14:textId="77777777" w:rsidR="00736C46" w:rsidRDefault="0073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0C24" w14:textId="77777777" w:rsidR="00736C46" w:rsidRDefault="00736C46">
      <w:pPr>
        <w:spacing w:after="0" w:line="240" w:lineRule="auto"/>
      </w:pPr>
      <w:r>
        <w:separator/>
      </w:r>
    </w:p>
  </w:footnote>
  <w:footnote w:type="continuationSeparator" w:id="0">
    <w:p w14:paraId="27421C27" w14:textId="77777777" w:rsidR="00736C46" w:rsidRDefault="0073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4D68"/>
    <w:rsid w:val="000861E5"/>
    <w:rsid w:val="00086454"/>
    <w:rsid w:val="000951FE"/>
    <w:rsid w:val="000A01BC"/>
    <w:rsid w:val="000D3EAE"/>
    <w:rsid w:val="000F6A79"/>
    <w:rsid w:val="000F6B15"/>
    <w:rsid w:val="000F7216"/>
    <w:rsid w:val="00114264"/>
    <w:rsid w:val="00117469"/>
    <w:rsid w:val="001260EA"/>
    <w:rsid w:val="0015308B"/>
    <w:rsid w:val="00160D53"/>
    <w:rsid w:val="0016615E"/>
    <w:rsid w:val="001725C7"/>
    <w:rsid w:val="001835E3"/>
    <w:rsid w:val="00183C64"/>
    <w:rsid w:val="00187300"/>
    <w:rsid w:val="001A72E8"/>
    <w:rsid w:val="001A7B5E"/>
    <w:rsid w:val="001B28D0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4EA7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65F35"/>
    <w:rsid w:val="004763B3"/>
    <w:rsid w:val="00480423"/>
    <w:rsid w:val="00495247"/>
    <w:rsid w:val="00497FC7"/>
    <w:rsid w:val="004B6D73"/>
    <w:rsid w:val="004C0571"/>
    <w:rsid w:val="004F3A62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5F74A4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70281F"/>
    <w:rsid w:val="00734A16"/>
    <w:rsid w:val="00736C46"/>
    <w:rsid w:val="007467E8"/>
    <w:rsid w:val="0075055B"/>
    <w:rsid w:val="00775BFF"/>
    <w:rsid w:val="00796F64"/>
    <w:rsid w:val="007B7B63"/>
    <w:rsid w:val="007E0F6E"/>
    <w:rsid w:val="007E2199"/>
    <w:rsid w:val="007E6B36"/>
    <w:rsid w:val="007F11D0"/>
    <w:rsid w:val="007F7CF2"/>
    <w:rsid w:val="008030C5"/>
    <w:rsid w:val="00810C23"/>
    <w:rsid w:val="00825CDD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2FEA"/>
    <w:rsid w:val="00A8363B"/>
    <w:rsid w:val="00AA1E03"/>
    <w:rsid w:val="00AA40A8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A1433"/>
    <w:rsid w:val="00BE4A39"/>
    <w:rsid w:val="00BF0639"/>
    <w:rsid w:val="00BF0EBD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B7C98"/>
    <w:rsid w:val="00CD223D"/>
    <w:rsid w:val="00CD4246"/>
    <w:rsid w:val="00CE060E"/>
    <w:rsid w:val="00CE09F6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lovakiaring.sk/sk/omv-maxxmotion-goodyear-fia-etrc-majstrovstva-europy-tahacov-f4-gt-cup-series-2026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2</cp:revision>
  <cp:lastPrinted>2024-10-20T15:22:00Z</cp:lastPrinted>
  <dcterms:created xsi:type="dcterms:W3CDTF">2026-06-01T11:40:00Z</dcterms:created>
  <dcterms:modified xsi:type="dcterms:W3CDTF">2026-06-01T11:40:00Z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