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6A35" w14:textId="77777777" w:rsidR="00321E8D" w:rsidRDefault="00321E8D" w:rsidP="00321E8D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Bohatý program TCR </w:t>
      </w:r>
      <w:proofErr w:type="spellStart"/>
      <w:r>
        <w:rPr>
          <w:b/>
          <w:bCs/>
          <w:sz w:val="28"/>
          <w:szCs w:val="28"/>
        </w:rPr>
        <w:t>Europe</w:t>
      </w:r>
      <w:proofErr w:type="spellEnd"/>
      <w:r>
        <w:rPr>
          <w:b/>
          <w:bCs/>
          <w:sz w:val="28"/>
          <w:szCs w:val="28"/>
        </w:rPr>
        <w:t xml:space="preserve"> na SLOVAKIA RINGU</w:t>
      </w:r>
    </w:p>
    <w:p w14:paraId="31AF4D3E" w14:textId="77777777" w:rsidR="00321E8D" w:rsidRDefault="00321E8D" w:rsidP="00321E8D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4. máj 2021 - Skutočne bohatý program ponúkne prvé tohtoročné medzinárodné motoristické podujatie u nás: OMV </w:t>
      </w:r>
      <w:proofErr w:type="spellStart"/>
      <w:r>
        <w:rPr>
          <w:b/>
          <w:bCs/>
        </w:rPr>
        <w:t>MaxxMotion</w:t>
      </w:r>
      <w:proofErr w:type="spellEnd"/>
      <w:r>
        <w:rPr>
          <w:b/>
          <w:bCs/>
        </w:rPr>
        <w:t xml:space="preserve"> TCR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 xml:space="preserve"> SLOVAKIA RING spolu s množstvom ďalších seriálov budú okupovať trať SLOVAKIA RINGU od rána do večera.</w:t>
      </w:r>
    </w:p>
    <w:p w14:paraId="2D332322" w14:textId="77777777" w:rsidR="00321E8D" w:rsidRDefault="00321E8D" w:rsidP="00321E8D">
      <w:pPr>
        <w:pStyle w:val="Zkladntext"/>
        <w:jc w:val="both"/>
      </w:pPr>
      <w:proofErr w:type="spellStart"/>
      <w:r>
        <w:t>Protipandemické</w:t>
      </w:r>
      <w:proofErr w:type="spellEnd"/>
      <w:r>
        <w:t xml:space="preserve"> nariadenia nedovolia diváckej verejnosti nahliadnuť na toto medzinárodné podujatie, a tak sa vskutku nabitý program odohrá za zavretými bránami. Európsky šampionát cestovných automobilov TCR </w:t>
      </w:r>
      <w:proofErr w:type="spellStart"/>
      <w:r>
        <w:t>Europe</w:t>
      </w:r>
      <w:proofErr w:type="spellEnd"/>
      <w:r>
        <w:t xml:space="preserve"> však uvidíme vďaka živým prenosom na internete ako aj na stanici </w:t>
      </w:r>
      <w:proofErr w:type="spellStart"/>
      <w:r>
        <w:t>Dajto</w:t>
      </w:r>
      <w:proofErr w:type="spellEnd"/>
      <w:r>
        <w:t xml:space="preserve">. Rovnako sa diváci môžu tešiť aj na živé prenosy všetkých pretekov ESET (TC, GT a </w:t>
      </w:r>
      <w:proofErr w:type="spellStart"/>
      <w:r>
        <w:t>Endurance</w:t>
      </w:r>
      <w:proofErr w:type="spellEnd"/>
      <w:r>
        <w:t xml:space="preserve">) a </w:t>
      </w:r>
      <w:proofErr w:type="spellStart"/>
      <w:r>
        <w:t>Clio</w:t>
      </w:r>
      <w:proofErr w:type="spellEnd"/>
      <w:r>
        <w:t xml:space="preserve"> Cup. Odkazy (</w:t>
      </w:r>
      <w:proofErr w:type="spellStart"/>
      <w:r w:rsidRPr="00321E8D">
        <w:rPr>
          <w:rFonts w:eastAsia="Songti SC"/>
          <w:color w:val="auto"/>
          <w:kern w:val="2"/>
          <w:lang w:eastAsia="zh-CN" w:bidi="hi-IN"/>
        </w:rPr>
        <w:t>Y</w:t>
      </w:r>
      <w:r>
        <w:t>outube</w:t>
      </w:r>
      <w:proofErr w:type="spellEnd"/>
      <w:r>
        <w:t xml:space="preserve">) na </w:t>
      </w:r>
      <w:proofErr w:type="spellStart"/>
      <w:r>
        <w:t>ne</w:t>
      </w:r>
      <w:proofErr w:type="spellEnd"/>
      <w:r>
        <w:t xml:space="preserve"> zverejní SLOVAKIA RING priebežne na sociálnych sieťach.</w:t>
      </w:r>
    </w:p>
    <w:p w14:paraId="1DD7A080" w14:textId="77777777" w:rsidR="00321E8D" w:rsidRDefault="00321E8D" w:rsidP="00321E8D">
      <w:pPr>
        <w:pStyle w:val="Zkladntext"/>
        <w:jc w:val="both"/>
      </w:pPr>
      <w:r>
        <w:t xml:space="preserve">V poli 22 štartujúcich jazdcov nechýbajú Slováci Matej Homola (Hyundai i30 N TCR) a Martin Ryba - ten dokonca s vlastným tímom </w:t>
      </w:r>
      <w:proofErr w:type="spellStart"/>
      <w:r>
        <w:t>Brutal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a tromi vozidlami Honda </w:t>
      </w:r>
      <w:proofErr w:type="spellStart"/>
      <w:r>
        <w:t>Civic</w:t>
      </w:r>
      <w:proofErr w:type="spellEnd"/>
      <w:r>
        <w:t xml:space="preserve"> Type R FK7 TCR.</w:t>
      </w:r>
    </w:p>
    <w:p w14:paraId="74351D79" w14:textId="77777777" w:rsidR="00321E8D" w:rsidRDefault="00321E8D" w:rsidP="00321E8D">
      <w:pPr>
        <w:pStyle w:val="Zkladntext"/>
        <w:jc w:val="both"/>
      </w:pPr>
      <w:r>
        <w:t xml:space="preserve">Víkend 7. až 9. mája však nepatrí len akčnému a vždy napínavému TCR </w:t>
      </w:r>
      <w:proofErr w:type="spellStart"/>
      <w:r>
        <w:t>Europe</w:t>
      </w:r>
      <w:proofErr w:type="spellEnd"/>
      <w:r>
        <w:t xml:space="preserve">. Špičkové a výkonné cestovné vozidlá sa ukážu aj v seriáloch TCR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a ESET Cup </w:t>
      </w:r>
      <w:proofErr w:type="spellStart"/>
      <w:r>
        <w:t>Series</w:t>
      </w:r>
      <w:proofErr w:type="spellEnd"/>
      <w:r>
        <w:t xml:space="preserve"> (TC -2.0). ESET ponúkne aj výkonné a hlučné vozidlá GT a LMP. Navyše tu pôjde aj o body do Stredoeurópskej trofeje FIA (FIA CEZ), či Medzinárodných majstrovstiev Slovenska, ale aj okolitých krajín. Z mimoriadne vyrovnaných a zábavných pohárových seriálov uvidíme </w:t>
      </w:r>
      <w:proofErr w:type="spellStart"/>
      <w:r>
        <w:t>Clio</w:t>
      </w:r>
      <w:proofErr w:type="spellEnd"/>
      <w:r>
        <w:t xml:space="preserve"> Cup Bohemia, </w:t>
      </w:r>
      <w:proofErr w:type="spellStart"/>
      <w:r>
        <w:t>Twingo</w:t>
      </w:r>
      <w:proofErr w:type="spellEnd"/>
      <w:r>
        <w:t xml:space="preserve"> Cup a Mazda MX5 Cup.</w:t>
      </w:r>
    </w:p>
    <w:p w14:paraId="34B89608" w14:textId="77777777" w:rsidR="00321E8D" w:rsidRDefault="00321E8D" w:rsidP="00321E8D">
      <w:pPr>
        <w:pStyle w:val="Zkladntext"/>
        <w:jc w:val="both"/>
      </w:pPr>
      <w:r>
        <w:t xml:space="preserve">Piatok 7. mája začne voľnými tréningami všetkých seriálov, pričom v sobotu už pôjde do tuhého: kvalifikácie o najlepšie miesta na štartovom rošte vystriedajú prvé </w:t>
      </w:r>
      <w:proofErr w:type="spellStart"/>
      <w:r>
        <w:t>šprintové</w:t>
      </w:r>
      <w:proofErr w:type="spellEnd"/>
      <w:r>
        <w:t xml:space="preserve"> preteky. Deň zakončia vytrvalostné hodinové preteky </w:t>
      </w:r>
      <w:proofErr w:type="spellStart"/>
      <w:r>
        <w:t>Endurance</w:t>
      </w:r>
      <w:proofErr w:type="spellEnd"/>
      <w:r>
        <w:t xml:space="preserve"> seriálu ESET, s povinnou zastávkou v boxoch. Nedeľný program vyvrcholí podobným programom s druhými víkendovými pretekmi všetkých seriálov.</w:t>
      </w:r>
    </w:p>
    <w:p w14:paraId="28607A1D" w14:textId="77777777" w:rsidR="00321E8D" w:rsidRDefault="00321E8D" w:rsidP="00321E8D">
      <w:pPr>
        <w:pStyle w:val="Zkladntext"/>
        <w:jc w:val="both"/>
      </w:pPr>
      <w:r>
        <w:t xml:space="preserve">Prvé preteky TCR </w:t>
      </w:r>
      <w:proofErr w:type="spellStart"/>
      <w:r>
        <w:t>Europe</w:t>
      </w:r>
      <w:proofErr w:type="spellEnd"/>
      <w:r>
        <w:t xml:space="preserve"> sú tak na programe (aj so živými prenosmi) v sobotu 8. mája o 15:15 a druhé preteky v nedeľu o 13:55.</w:t>
      </w:r>
    </w:p>
    <w:p w14:paraId="18396FC6" w14:textId="77777777" w:rsidR="00321E8D" w:rsidRPr="00D27AB5" w:rsidRDefault="00321E8D" w:rsidP="00321E8D">
      <w:pPr>
        <w:pStyle w:val="Zkladntext"/>
        <w:jc w:val="both"/>
        <w:rPr>
          <w:lang w:val="de-AT"/>
        </w:rPr>
      </w:pPr>
      <w:proofErr w:type="spellStart"/>
      <w:r w:rsidRPr="00D27AB5">
        <w:rPr>
          <w:lang w:val="de-AT"/>
        </w:rPr>
        <w:t>Ďalšie</w:t>
      </w:r>
      <w:proofErr w:type="spellEnd"/>
      <w:r w:rsidRPr="00D27AB5">
        <w:rPr>
          <w:lang w:val="de-AT"/>
        </w:rPr>
        <w:t xml:space="preserve"> </w:t>
      </w:r>
      <w:proofErr w:type="spellStart"/>
      <w:r w:rsidRPr="00D27AB5">
        <w:rPr>
          <w:lang w:val="de-AT"/>
        </w:rPr>
        <w:t>informácie</w:t>
      </w:r>
      <w:proofErr w:type="spellEnd"/>
      <w:r w:rsidRPr="00D27AB5">
        <w:rPr>
          <w:lang w:val="de-AT"/>
        </w:rPr>
        <w:t xml:space="preserve"> </w:t>
      </w:r>
      <w:proofErr w:type="spellStart"/>
      <w:r w:rsidRPr="00D27AB5">
        <w:rPr>
          <w:lang w:val="de-AT"/>
        </w:rPr>
        <w:t>nájdete</w:t>
      </w:r>
      <w:proofErr w:type="spellEnd"/>
      <w:r w:rsidRPr="00D27AB5">
        <w:rPr>
          <w:lang w:val="de-AT"/>
        </w:rPr>
        <w:t xml:space="preserve"> </w:t>
      </w:r>
      <w:proofErr w:type="spellStart"/>
      <w:r w:rsidRPr="00D27AB5">
        <w:rPr>
          <w:lang w:val="de-AT"/>
        </w:rPr>
        <w:t>aj</w:t>
      </w:r>
      <w:proofErr w:type="spellEnd"/>
      <w:r w:rsidRPr="00D27AB5">
        <w:rPr>
          <w:lang w:val="de-AT"/>
        </w:rPr>
        <w:t xml:space="preserve"> na www.slovakiaring.sk.</w:t>
      </w:r>
    </w:p>
    <w:p w14:paraId="78226963" w14:textId="77777777" w:rsidR="001260EA" w:rsidRDefault="00973AC2">
      <w:r>
        <w:rPr>
          <w:i/>
        </w:rPr>
        <w:t>***</w:t>
      </w:r>
    </w:p>
    <w:p w14:paraId="5B31F027" w14:textId="77777777" w:rsidR="001260EA" w:rsidRDefault="00973AC2">
      <w:r>
        <w:rPr>
          <w:b/>
          <w:i/>
        </w:rPr>
        <w:t>Okruh SLOVAKIA RING / Areál SLOVAKIA RING</w:t>
      </w:r>
    </w:p>
    <w:p w14:paraId="25D6E54E" w14:textId="77777777" w:rsidR="001260EA" w:rsidRDefault="00973AC2">
      <w:pPr>
        <w:jc w:val="both"/>
      </w:pPr>
      <w:r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77777777" w:rsidR="001260EA" w:rsidRDefault="00973AC2">
      <w:pPr>
        <w:spacing w:line="240" w:lineRule="auto"/>
        <w:jc w:val="both"/>
      </w:pPr>
      <w:r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>
        <w:rPr>
          <w:i/>
        </w:rPr>
        <w:t>automotodróme</w:t>
      </w:r>
      <w:proofErr w:type="spellEnd"/>
      <w:r>
        <w:rPr>
          <w:i/>
        </w:rPr>
        <w:t xml:space="preserve">, zdokonaliť sa v škole bezpečnej jazdy, vyskúšať si terénnu jazdu vo vynovenom </w:t>
      </w:r>
      <w:proofErr w:type="spellStart"/>
      <w:r w:rsidRPr="008E0E39">
        <w:rPr>
          <w:b/>
          <w:i/>
        </w:rPr>
        <w:t>off-road</w:t>
      </w:r>
      <w:proofErr w:type="spellEnd"/>
      <w:r w:rsidRPr="008E0E39">
        <w:rPr>
          <w:b/>
          <w:i/>
        </w:rPr>
        <w:t xml:space="preserve"> areáli</w:t>
      </w:r>
      <w:r>
        <w:rPr>
          <w:i/>
        </w:rPr>
        <w:t xml:space="preserve"> a užiť si relax v hoteli. Súčasťou širšieho areálu je aj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 </w:t>
      </w:r>
      <w:r>
        <w:rPr>
          <w:i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útočisko pre exotické zvieratá. K novým atrakciám patrí tiež </w:t>
      </w:r>
      <w:r w:rsidRPr="008E0E39">
        <w:rPr>
          <w:b/>
          <w:i/>
        </w:rPr>
        <w:t>Vojenské múzeum.</w:t>
      </w:r>
      <w:r>
        <w:rPr>
          <w:i/>
        </w:rPr>
        <w:t xml:space="preserve"> Pre všetkých, ktorí si chcú preveriť a zdokonaliť svoje jazdecké zručnosti -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</w:t>
      </w:r>
      <w:r>
        <w:rPr>
          <w:i/>
        </w:rPr>
        <w:lastRenderedPageBreak/>
        <w:t xml:space="preserve">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>, ktorý ponúka komfortné ubytovanie.</w:t>
      </w:r>
    </w:p>
    <w:p w14:paraId="44FDBB15" w14:textId="1979D9FA" w:rsidR="00F86409" w:rsidRDefault="00F86409">
      <w:pPr>
        <w:spacing w:before="280" w:after="0" w:line="240" w:lineRule="auto"/>
        <w:rPr>
          <w:b/>
        </w:rPr>
      </w:pPr>
      <w:r>
        <w:rPr>
          <w:b/>
        </w:rPr>
        <w:t>GENERÁLNYM REKLAMNÝM PARTNEROM OKUHU JE OMV SLOVENSKO.</w:t>
      </w:r>
    </w:p>
    <w:p w14:paraId="4DFFADA2" w14:textId="54FEEC85" w:rsidR="001260EA" w:rsidRDefault="00973AC2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14:paraId="443428BD" w14:textId="77777777">
        <w:tc>
          <w:tcPr>
            <w:tcW w:w="4536" w:type="dxa"/>
            <w:shd w:val="clear" w:color="auto" w:fill="auto"/>
          </w:tcPr>
          <w:p w14:paraId="64B4FE8F" w14:textId="77777777" w:rsidR="001260EA" w:rsidRDefault="00973AC2">
            <w:pPr>
              <w:pStyle w:val="Zkladntext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77777777" w:rsidR="001260EA" w:rsidRDefault="00973AC2">
            <w:pPr>
              <w:pStyle w:val="Zkladntext"/>
            </w:pPr>
            <w:r>
              <w:t>Martin Trenkler</w:t>
            </w:r>
            <w:r>
              <w:br/>
              <w:t xml:space="preserve">Press </w:t>
            </w:r>
            <w:proofErr w:type="spellStart"/>
            <w:r>
              <w:t>Officer</w:t>
            </w:r>
            <w:proofErr w:type="spellEnd"/>
            <w:r>
              <w:t>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14:paraId="200BC13D" w14:textId="77777777" w:rsidR="001260EA" w:rsidRDefault="001260EA">
      <w:pPr>
        <w:jc w:val="both"/>
      </w:pPr>
    </w:p>
    <w:sectPr w:rsidR="001260E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9869" w14:textId="77777777" w:rsidR="003842EC" w:rsidRDefault="003842EC">
      <w:pPr>
        <w:spacing w:after="0" w:line="240" w:lineRule="auto"/>
      </w:pPr>
      <w:r>
        <w:separator/>
      </w:r>
    </w:p>
  </w:endnote>
  <w:endnote w:type="continuationSeparator" w:id="0">
    <w:p w14:paraId="57C0F21D" w14:textId="77777777" w:rsidR="003842EC" w:rsidRDefault="0038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7DEC" w14:textId="77777777" w:rsidR="003842EC" w:rsidRDefault="003842EC">
      <w:pPr>
        <w:spacing w:after="0" w:line="240" w:lineRule="auto"/>
      </w:pPr>
      <w:r>
        <w:separator/>
      </w:r>
    </w:p>
  </w:footnote>
  <w:footnote w:type="continuationSeparator" w:id="0">
    <w:p w14:paraId="377F4ADE" w14:textId="77777777" w:rsidR="003842EC" w:rsidRDefault="0038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1260EA"/>
    <w:rsid w:val="002F38DA"/>
    <w:rsid w:val="00321E8D"/>
    <w:rsid w:val="003842EC"/>
    <w:rsid w:val="00633B72"/>
    <w:rsid w:val="008E0E39"/>
    <w:rsid w:val="00944E2C"/>
    <w:rsid w:val="00973AC2"/>
    <w:rsid w:val="00CA0BA8"/>
    <w:rsid w:val="00DF4F7D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 </cp:lastModifiedBy>
  <cp:revision>5</cp:revision>
  <dcterms:created xsi:type="dcterms:W3CDTF">2021-04-27T10:10:00Z</dcterms:created>
  <dcterms:modified xsi:type="dcterms:W3CDTF">2021-05-04T13:09:00Z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